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D883" w14:textId="675B8984" w:rsidR="00541872" w:rsidRDefault="008855E3" w:rsidP="004C267E">
      <w:pPr>
        <w:jc w:val="center"/>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5D4CA9">
        <w:rPr>
          <w:rFonts w:ascii="Times New Roman" w:hAnsi="Times New Roman"/>
          <w:b/>
          <w:bCs/>
          <w:sz w:val="28"/>
          <w:szCs w:val="28"/>
        </w:rPr>
        <w:t xml:space="preserve">Attachment 2-A </w:t>
      </w:r>
      <w:r w:rsidR="005B4A0B">
        <w:rPr>
          <w:rFonts w:ascii="Times New Roman" w:hAnsi="Times New Roman"/>
          <w:b/>
          <w:bCs/>
          <w:sz w:val="28"/>
          <w:szCs w:val="28"/>
        </w:rPr>
        <w:t>Page 1</w:t>
      </w:r>
    </w:p>
    <w:p w14:paraId="1EF66E22" w14:textId="77777777" w:rsidR="00541872" w:rsidRDefault="00541872" w:rsidP="004C267E">
      <w:pPr>
        <w:jc w:val="center"/>
        <w:rPr>
          <w:rFonts w:ascii="Times New Roman" w:hAnsi="Times New Roman"/>
          <w:b/>
          <w:bCs/>
          <w:sz w:val="28"/>
          <w:szCs w:val="28"/>
        </w:rPr>
      </w:pPr>
    </w:p>
    <w:p w14:paraId="4AF3B2DA" w14:textId="28C4BF95" w:rsidR="004C267E" w:rsidRDefault="004C267E" w:rsidP="004C267E">
      <w:pPr>
        <w:jc w:val="center"/>
        <w:rPr>
          <w:rFonts w:ascii="Times New Roman" w:hAnsi="Times New Roman"/>
          <w:b/>
          <w:bCs/>
          <w:sz w:val="28"/>
          <w:szCs w:val="28"/>
        </w:rPr>
      </w:pPr>
      <w:r>
        <w:rPr>
          <w:rFonts w:ascii="Times New Roman" w:hAnsi="Times New Roman"/>
          <w:b/>
          <w:bCs/>
          <w:sz w:val="28"/>
          <w:szCs w:val="28"/>
        </w:rPr>
        <w:t>Hawaii State Department of Health</w:t>
      </w:r>
    </w:p>
    <w:p w14:paraId="0221248C" w14:textId="77777777" w:rsidR="004C267E" w:rsidRDefault="004C267E" w:rsidP="004C267E">
      <w:pPr>
        <w:jc w:val="center"/>
        <w:rPr>
          <w:rFonts w:ascii="Times New Roman" w:hAnsi="Times New Roman"/>
          <w:b/>
          <w:bCs/>
          <w:sz w:val="28"/>
          <w:szCs w:val="28"/>
        </w:rPr>
      </w:pPr>
      <w:r>
        <w:rPr>
          <w:rFonts w:ascii="Times New Roman" w:hAnsi="Times New Roman"/>
          <w:b/>
          <w:bCs/>
          <w:sz w:val="28"/>
          <w:szCs w:val="28"/>
        </w:rPr>
        <w:t>Hazard Evaluation and Emergency Response Office (HEER)</w:t>
      </w:r>
    </w:p>
    <w:p w14:paraId="4C83D00C" w14:textId="12CEB246" w:rsidR="004C267E" w:rsidRDefault="004C267E" w:rsidP="004C267E">
      <w:pPr>
        <w:jc w:val="center"/>
        <w:rPr>
          <w:rFonts w:ascii="Times New Roman" w:hAnsi="Times New Roman"/>
          <w:szCs w:val="20"/>
        </w:rPr>
      </w:pPr>
      <w:r>
        <w:rPr>
          <w:rFonts w:ascii="Times New Roman" w:hAnsi="Times New Roman"/>
          <w:b/>
          <w:bCs/>
          <w:sz w:val="28"/>
          <w:szCs w:val="28"/>
        </w:rPr>
        <w:t xml:space="preserve">Hazardous Substance Inventory </w:t>
      </w:r>
      <w:r w:rsidR="00B22764">
        <w:rPr>
          <w:rFonts w:ascii="Times New Roman" w:hAnsi="Times New Roman"/>
          <w:b/>
          <w:bCs/>
          <w:sz w:val="28"/>
          <w:szCs w:val="28"/>
        </w:rPr>
        <w:t xml:space="preserve">Submittal </w:t>
      </w:r>
      <w:r>
        <w:rPr>
          <w:rFonts w:ascii="Times New Roman" w:hAnsi="Times New Roman"/>
          <w:b/>
          <w:bCs/>
          <w:sz w:val="28"/>
          <w:szCs w:val="28"/>
        </w:rPr>
        <w:t>Guideline</w:t>
      </w:r>
    </w:p>
    <w:p w14:paraId="77D1373F" w14:textId="77777777" w:rsidR="004C267E" w:rsidRDefault="004C267E" w:rsidP="004C267E">
      <w:pPr>
        <w:rPr>
          <w:rFonts w:ascii="Times New Roman" w:hAnsi="Times New Roman"/>
          <w:szCs w:val="20"/>
        </w:rPr>
      </w:pPr>
    </w:p>
    <w:p w14:paraId="67FF1449" w14:textId="1ED09E3D" w:rsidR="00401420" w:rsidRPr="00985DA6" w:rsidRDefault="00147320" w:rsidP="00401420">
      <w:pPr>
        <w:pStyle w:val="Heading1"/>
        <w:rPr>
          <w:color w:val="auto"/>
          <w:sz w:val="24"/>
          <w:szCs w:val="24"/>
        </w:rPr>
      </w:pPr>
      <w:r w:rsidRPr="00985DA6">
        <w:rPr>
          <w:b/>
          <w:bCs/>
          <w:color w:val="auto"/>
          <w:sz w:val="24"/>
          <w:szCs w:val="24"/>
        </w:rPr>
        <w:t>RULES FOR HAWAII REVISED STAT</w:t>
      </w:r>
      <w:r w:rsidR="00985DA6" w:rsidRPr="00985DA6">
        <w:rPr>
          <w:b/>
          <w:bCs/>
          <w:color w:val="auto"/>
          <w:sz w:val="24"/>
          <w:szCs w:val="24"/>
        </w:rPr>
        <w:t>UTES (HRS) 1</w:t>
      </w:r>
      <w:r w:rsidR="00401420" w:rsidRPr="00985DA6">
        <w:rPr>
          <w:b/>
          <w:bCs/>
          <w:color w:val="auto"/>
          <w:sz w:val="24"/>
          <w:szCs w:val="24"/>
        </w:rPr>
        <w:t>28-E</w:t>
      </w:r>
    </w:p>
    <w:p w14:paraId="3FBA2284" w14:textId="77777777" w:rsidR="00401420" w:rsidRPr="00401420" w:rsidRDefault="00401420" w:rsidP="00401420">
      <w:pPr>
        <w:rPr>
          <w:rFonts w:asciiTheme="majorHAnsi" w:hAnsiTheme="majorHAnsi"/>
          <w:sz w:val="24"/>
        </w:rPr>
      </w:pPr>
      <w:r w:rsidRPr="00401420">
        <w:rPr>
          <w:rFonts w:asciiTheme="majorHAnsi" w:hAnsiTheme="majorHAnsi"/>
          <w:sz w:val="24"/>
        </w:rPr>
        <w:t>The Hazard Evaluation and Emergency Response (HEER) Office and the Local Emergency Planning Committees (LEPCs) have written rules for HRS 128E:</w:t>
      </w:r>
    </w:p>
    <w:p w14:paraId="62CAFCB1" w14:textId="77777777" w:rsidR="00401420" w:rsidRPr="00401420" w:rsidRDefault="00401420" w:rsidP="00401420">
      <w:pPr>
        <w:rPr>
          <w:rFonts w:asciiTheme="majorHAnsi" w:hAnsiTheme="majorHAnsi"/>
          <w:color w:val="0070C0"/>
          <w:sz w:val="24"/>
        </w:rPr>
      </w:pPr>
      <w:r w:rsidRPr="00401420">
        <w:rPr>
          <w:rFonts w:asciiTheme="majorHAnsi" w:hAnsiTheme="majorHAnsi"/>
          <w:sz w:val="24"/>
        </w:rPr>
        <w:t xml:space="preserve"> </w:t>
      </w:r>
      <w:hyperlink r:id="rId6" w:history="1">
        <w:r w:rsidRPr="00401420">
          <w:rPr>
            <w:rStyle w:val="Hyperlink"/>
            <w:rFonts w:asciiTheme="majorHAnsi" w:hAnsiTheme="majorHAnsi"/>
            <w:sz w:val="24"/>
          </w:rPr>
          <w:t>https://www.capitol.hawaii.gov/hrscurrent/Vol03_Ch0121-0200D/HRS0128E/HRS_0128E-.htm</w:t>
        </w:r>
      </w:hyperlink>
      <w:r w:rsidRPr="00401420">
        <w:rPr>
          <w:rFonts w:asciiTheme="majorHAnsi" w:hAnsiTheme="majorHAnsi"/>
          <w:sz w:val="24"/>
        </w:rPr>
        <w:t xml:space="preserve"> .</w:t>
      </w:r>
    </w:p>
    <w:p w14:paraId="50C78804" w14:textId="77777777" w:rsidR="00401420" w:rsidRDefault="00401420" w:rsidP="00401420">
      <w:pPr>
        <w:rPr>
          <w:rFonts w:asciiTheme="majorHAnsi" w:hAnsiTheme="majorHAnsi"/>
          <w:sz w:val="24"/>
        </w:rPr>
      </w:pPr>
    </w:p>
    <w:p w14:paraId="204CEADE" w14:textId="543001F2" w:rsidR="00401420" w:rsidRPr="00401420" w:rsidRDefault="00401420" w:rsidP="00401420">
      <w:pPr>
        <w:rPr>
          <w:rFonts w:asciiTheme="majorHAnsi" w:hAnsiTheme="majorHAnsi"/>
          <w:sz w:val="24"/>
        </w:rPr>
      </w:pPr>
      <w:r w:rsidRPr="00401420">
        <w:rPr>
          <w:rFonts w:asciiTheme="majorHAnsi" w:hAnsiTheme="majorHAnsi"/>
          <w:sz w:val="24"/>
        </w:rPr>
        <w:t xml:space="preserve">The effective date for “Chapter 453 of Title 11, Hawaii Administrative Rules” is November 5, 2010, </w:t>
      </w:r>
      <w:hyperlink r:id="rId7" w:history="1">
        <w:r w:rsidRPr="00401420">
          <w:rPr>
            <w:rStyle w:val="Hyperlink"/>
            <w:rFonts w:asciiTheme="majorHAnsi" w:hAnsiTheme="majorHAnsi"/>
            <w:sz w:val="24"/>
          </w:rPr>
          <w:t>https://health.hawaii.gov/opppd/files/2015/06/11-453.pdf</w:t>
        </w:r>
      </w:hyperlink>
      <w:r w:rsidRPr="00401420">
        <w:rPr>
          <w:rFonts w:asciiTheme="majorHAnsi" w:hAnsiTheme="majorHAnsi"/>
          <w:sz w:val="24"/>
        </w:rPr>
        <w:t xml:space="preserve">  . Contact Sharon Leonida of the HEER Office at </w:t>
      </w:r>
      <w:hyperlink r:id="rId8" w:history="1">
        <w:r w:rsidRPr="00401420">
          <w:rPr>
            <w:rStyle w:val="Hyperlink"/>
            <w:rFonts w:asciiTheme="majorHAnsi" w:hAnsiTheme="majorHAnsi"/>
            <w:sz w:val="24"/>
          </w:rPr>
          <w:t>sharon.leonida@doh.hawaii.gov</w:t>
        </w:r>
      </w:hyperlink>
      <w:r w:rsidRPr="00401420">
        <w:rPr>
          <w:rFonts w:asciiTheme="majorHAnsi" w:hAnsiTheme="majorHAnsi"/>
          <w:sz w:val="24"/>
        </w:rPr>
        <w:t xml:space="preserve"> or (808) 586-4249 for additional information.  </w:t>
      </w:r>
    </w:p>
    <w:p w14:paraId="41DB14F3" w14:textId="77777777" w:rsidR="00401420" w:rsidRPr="00401420" w:rsidRDefault="00401420" w:rsidP="00401420">
      <w:pPr>
        <w:rPr>
          <w:rFonts w:asciiTheme="majorHAnsi" w:hAnsiTheme="majorHAnsi"/>
          <w:sz w:val="24"/>
        </w:rPr>
      </w:pPr>
      <w:r w:rsidRPr="00401420">
        <w:rPr>
          <w:rFonts w:asciiTheme="majorHAnsi" w:hAnsiTheme="majorHAnsi"/>
          <w:sz w:val="24"/>
        </w:rPr>
        <w:t>Effective December 12, 2025, pursuant to the applicability of section 11-453-16, Hawaii Revised Statutes, the Hawaii State Emergency Response Commission designates each owner or operator of a facility that stores, uses, or manufactures Lithium-ion batteries with a threshold quantity of 10,000 pounds or more, be subject to reporting. A $200.00 filing fee per facility is not required.</w:t>
      </w:r>
    </w:p>
    <w:p w14:paraId="0CBF8100" w14:textId="77777777" w:rsidR="00401420" w:rsidRPr="00401420" w:rsidRDefault="00401420" w:rsidP="00401420">
      <w:pPr>
        <w:pStyle w:val="Heading1"/>
        <w:rPr>
          <w:color w:val="0070C0"/>
          <w:sz w:val="24"/>
          <w:szCs w:val="24"/>
        </w:rPr>
      </w:pPr>
      <w:r w:rsidRPr="00401420">
        <w:rPr>
          <w:sz w:val="24"/>
          <w:szCs w:val="24"/>
        </w:rPr>
        <w:t xml:space="preserve">Tier II forms and instructions have been removed from the Code of Federal Regulations (CFR).  They are located on EPA’s website: </w:t>
      </w:r>
      <w:hyperlink r:id="rId9" w:history="1">
        <w:r w:rsidRPr="00401420">
          <w:rPr>
            <w:rStyle w:val="Hyperlink"/>
            <w:sz w:val="24"/>
            <w:szCs w:val="24"/>
          </w:rPr>
          <w:t>www.epa.gov/epcra/Tier2-submit-software</w:t>
        </w:r>
      </w:hyperlink>
      <w:r w:rsidRPr="00401420">
        <w:rPr>
          <w:sz w:val="24"/>
          <w:szCs w:val="24"/>
        </w:rPr>
        <w:t xml:space="preserve">  </w:t>
      </w:r>
    </w:p>
    <w:p w14:paraId="29C4A4DC" w14:textId="77777777" w:rsidR="00401420" w:rsidRPr="00401420" w:rsidRDefault="00401420" w:rsidP="00401420">
      <w:pPr>
        <w:rPr>
          <w:rFonts w:asciiTheme="majorHAnsi" w:hAnsiTheme="majorHAnsi"/>
          <w:sz w:val="24"/>
        </w:rPr>
      </w:pPr>
      <w:r w:rsidRPr="00401420">
        <w:rPr>
          <w:rFonts w:asciiTheme="majorHAnsi" w:hAnsiTheme="majorHAnsi"/>
          <w:sz w:val="24"/>
        </w:rPr>
        <w:t>Facilities are now required to report their North American Industry Classification System (NAICS) code on the Tier II form.</w:t>
      </w:r>
    </w:p>
    <w:p w14:paraId="42CFDD42" w14:textId="77777777" w:rsidR="00401420" w:rsidRDefault="00401420" w:rsidP="00401420">
      <w:pPr>
        <w:rPr>
          <w:rFonts w:asciiTheme="majorHAnsi" w:hAnsiTheme="majorHAnsi"/>
          <w:sz w:val="24"/>
        </w:rPr>
      </w:pPr>
    </w:p>
    <w:p w14:paraId="77F546D0" w14:textId="21C2A20F" w:rsidR="00401420" w:rsidRPr="00401420" w:rsidRDefault="00401420" w:rsidP="00401420">
      <w:pPr>
        <w:rPr>
          <w:rFonts w:asciiTheme="majorHAnsi" w:hAnsiTheme="majorHAnsi"/>
          <w:sz w:val="24"/>
        </w:rPr>
      </w:pPr>
      <w:r w:rsidRPr="00401420">
        <w:rPr>
          <w:rFonts w:asciiTheme="majorHAnsi" w:hAnsiTheme="majorHAnsi"/>
          <w:sz w:val="24"/>
        </w:rPr>
        <w:t xml:space="preserve">The chemical or common name of the chemical, as provided on the Safety Data Sheet, must be provided on the Tier II form.  </w:t>
      </w:r>
    </w:p>
    <w:p w14:paraId="006619F9" w14:textId="77777777" w:rsidR="00401420" w:rsidRPr="00401420" w:rsidRDefault="00401420" w:rsidP="004C267E">
      <w:pPr>
        <w:rPr>
          <w:rFonts w:asciiTheme="majorHAnsi" w:hAnsiTheme="majorHAnsi"/>
          <w:sz w:val="24"/>
        </w:rPr>
      </w:pPr>
    </w:p>
    <w:p w14:paraId="30416965" w14:textId="77777777" w:rsidR="004C267E" w:rsidRDefault="004C267E" w:rsidP="004C267E">
      <w:pPr>
        <w:tabs>
          <w:tab w:val="left" w:pos="-360"/>
          <w:tab w:val="left" w:pos="0"/>
          <w:tab w:val="left" w:pos="360"/>
        </w:tabs>
        <w:rPr>
          <w:rFonts w:ascii="Times New Roman" w:hAnsi="Times New Roman"/>
          <w:szCs w:val="20"/>
        </w:rPr>
      </w:pPr>
    </w:p>
    <w:p w14:paraId="587504C2" w14:textId="77777777" w:rsidR="004C267E" w:rsidRPr="00E270AB" w:rsidRDefault="004C267E" w:rsidP="004C267E">
      <w:pPr>
        <w:tabs>
          <w:tab w:val="left" w:pos="-360"/>
          <w:tab w:val="left" w:pos="0"/>
          <w:tab w:val="left" w:pos="360"/>
        </w:tabs>
        <w:rPr>
          <w:rFonts w:ascii="Aptos" w:hAnsi="Aptos"/>
          <w:sz w:val="24"/>
        </w:rPr>
      </w:pPr>
      <w:r w:rsidRPr="00E270AB">
        <w:rPr>
          <w:rFonts w:ascii="Aptos" w:hAnsi="Aptos"/>
          <w:b/>
          <w:bCs/>
          <w:sz w:val="24"/>
        </w:rPr>
        <w:t>WHO MUST SUBMIT AN INVENTORY FORM</w:t>
      </w:r>
    </w:p>
    <w:p w14:paraId="1C4461BE" w14:textId="77777777" w:rsidR="004C267E" w:rsidRPr="00E270AB" w:rsidRDefault="004C267E" w:rsidP="004C267E">
      <w:pPr>
        <w:tabs>
          <w:tab w:val="left" w:pos="-360"/>
          <w:tab w:val="left" w:pos="0"/>
          <w:tab w:val="left" w:pos="360"/>
        </w:tabs>
        <w:rPr>
          <w:rFonts w:ascii="Aptos" w:hAnsi="Aptos"/>
          <w:sz w:val="24"/>
        </w:rPr>
      </w:pPr>
    </w:p>
    <w:p w14:paraId="066672A5" w14:textId="77777777" w:rsidR="004C267E" w:rsidRPr="00700CFC" w:rsidRDefault="004C267E" w:rsidP="004C267E">
      <w:pPr>
        <w:tabs>
          <w:tab w:val="left" w:pos="-360"/>
          <w:tab w:val="left" w:pos="0"/>
          <w:tab w:val="left" w:pos="360"/>
        </w:tabs>
        <w:rPr>
          <w:rFonts w:ascii="Aptos Display" w:hAnsi="Aptos Display"/>
          <w:sz w:val="24"/>
        </w:rPr>
      </w:pPr>
      <w:r w:rsidRPr="00700CFC">
        <w:rPr>
          <w:rFonts w:ascii="Aptos Display" w:hAnsi="Aptos Display"/>
          <w:sz w:val="24"/>
        </w:rPr>
        <w:t>You need to report hazardous substances that were present at your facility at any time during the previous calendar year at levels that equal or exceed reporting thresholds established for Hawaii Chemical Inventory Form/Tier II (HCIF) reporting under the Hawaii Emergency Planning and Community Right-to-Know Act (HEPCRA). These thresholds are as follows:</w:t>
      </w:r>
    </w:p>
    <w:p w14:paraId="2348D565" w14:textId="77777777" w:rsidR="004C267E" w:rsidRPr="00700CFC" w:rsidRDefault="004C267E" w:rsidP="004C267E">
      <w:pPr>
        <w:tabs>
          <w:tab w:val="left" w:pos="-360"/>
          <w:tab w:val="left" w:pos="0"/>
          <w:tab w:val="left" w:pos="360"/>
        </w:tabs>
        <w:rPr>
          <w:rFonts w:ascii="Aptos Display" w:hAnsi="Aptos Display"/>
          <w:sz w:val="24"/>
        </w:rPr>
      </w:pPr>
    </w:p>
    <w:p w14:paraId="3C2F5909" w14:textId="77777777" w:rsidR="004C267E" w:rsidRPr="00700CFC" w:rsidRDefault="004C267E" w:rsidP="004C267E">
      <w:pPr>
        <w:tabs>
          <w:tab w:val="left" w:pos="-360"/>
          <w:tab w:val="left" w:pos="0"/>
          <w:tab w:val="left" w:pos="360"/>
        </w:tabs>
        <w:rPr>
          <w:rFonts w:ascii="Aptos Display" w:hAnsi="Aptos Display"/>
          <w:sz w:val="24"/>
        </w:rPr>
      </w:pPr>
      <w:r w:rsidRPr="00700CFC">
        <w:rPr>
          <w:rFonts w:ascii="Aptos Display" w:hAnsi="Aptos Display"/>
          <w:sz w:val="24"/>
        </w:rPr>
        <w:t>For Extremely Hazardous Substances (EHS) designated under section 302 of The Emergency Planning and Community Right-to-Know Act (EPCRA), the reporting threshold is 500 pounds (or 227 kg) or the Threshold Planning Quantity (TPQ), whichever is lower.</w:t>
      </w:r>
    </w:p>
    <w:p w14:paraId="7F7783D6" w14:textId="77777777" w:rsidR="004C267E" w:rsidRPr="00700CFC" w:rsidRDefault="004C267E" w:rsidP="004C267E">
      <w:pPr>
        <w:tabs>
          <w:tab w:val="left" w:pos="-360"/>
          <w:tab w:val="left" w:pos="0"/>
          <w:tab w:val="left" w:pos="360"/>
        </w:tabs>
        <w:rPr>
          <w:rFonts w:ascii="Aptos Display" w:hAnsi="Aptos Display"/>
          <w:sz w:val="24"/>
        </w:rPr>
      </w:pPr>
    </w:p>
    <w:p w14:paraId="27099338" w14:textId="77777777" w:rsidR="004C267E" w:rsidRPr="00700CFC" w:rsidRDefault="004C267E" w:rsidP="004C267E">
      <w:pPr>
        <w:tabs>
          <w:tab w:val="left" w:pos="-360"/>
          <w:tab w:val="left" w:pos="0"/>
          <w:tab w:val="left" w:pos="360"/>
        </w:tabs>
        <w:rPr>
          <w:rFonts w:ascii="Aptos Display" w:hAnsi="Aptos Display"/>
          <w:sz w:val="24"/>
        </w:rPr>
      </w:pPr>
      <w:r w:rsidRPr="00700CFC">
        <w:rPr>
          <w:rFonts w:ascii="Aptos Display" w:hAnsi="Aptos Display"/>
          <w:sz w:val="24"/>
        </w:rPr>
        <w:t>For all other hazardous chemicals for which facilities are required to have or prepare a Safety Data Sheet (SDS), the reporting threshold is 10,000 pounds or (4,540 kg).</w:t>
      </w:r>
    </w:p>
    <w:p w14:paraId="31F792EC" w14:textId="77777777" w:rsidR="00700CFC" w:rsidRDefault="00700CFC" w:rsidP="00700CFC">
      <w:pPr>
        <w:tabs>
          <w:tab w:val="left" w:pos="-360"/>
          <w:tab w:val="left" w:pos="0"/>
          <w:tab w:val="left" w:pos="360"/>
        </w:tabs>
        <w:rPr>
          <w:rFonts w:ascii="Aptos Display" w:hAnsi="Aptos Display"/>
          <w:sz w:val="24"/>
        </w:rPr>
      </w:pPr>
    </w:p>
    <w:p w14:paraId="13A35A16" w14:textId="77777777" w:rsidR="00700CFC" w:rsidRDefault="00700CFC" w:rsidP="00700CFC">
      <w:pPr>
        <w:tabs>
          <w:tab w:val="left" w:pos="-360"/>
          <w:tab w:val="left" w:pos="0"/>
          <w:tab w:val="left" w:pos="360"/>
        </w:tabs>
        <w:rPr>
          <w:rFonts w:ascii="Aptos Display" w:hAnsi="Aptos Display"/>
          <w:sz w:val="24"/>
        </w:rPr>
      </w:pPr>
    </w:p>
    <w:p w14:paraId="64CE4C0B" w14:textId="77777777" w:rsidR="00452C78" w:rsidRDefault="00452C78" w:rsidP="00700CFC">
      <w:pPr>
        <w:tabs>
          <w:tab w:val="left" w:pos="-360"/>
          <w:tab w:val="left" w:pos="0"/>
          <w:tab w:val="left" w:pos="360"/>
        </w:tabs>
        <w:rPr>
          <w:rFonts w:ascii="Aptos" w:hAnsi="Aptos"/>
          <w:b/>
          <w:bCs/>
          <w:sz w:val="24"/>
        </w:rPr>
      </w:pPr>
    </w:p>
    <w:p w14:paraId="4379B7B3" w14:textId="77777777" w:rsidR="00452C78" w:rsidRDefault="00452C78" w:rsidP="00700CFC">
      <w:pPr>
        <w:tabs>
          <w:tab w:val="left" w:pos="-360"/>
          <w:tab w:val="left" w:pos="0"/>
          <w:tab w:val="left" w:pos="360"/>
        </w:tabs>
        <w:rPr>
          <w:rFonts w:ascii="Aptos" w:hAnsi="Aptos"/>
          <w:b/>
          <w:bCs/>
          <w:sz w:val="24"/>
        </w:rPr>
      </w:pPr>
    </w:p>
    <w:p w14:paraId="3D0D32D6" w14:textId="77777777" w:rsidR="00452C78" w:rsidRDefault="00452C78" w:rsidP="00700CFC">
      <w:pPr>
        <w:tabs>
          <w:tab w:val="left" w:pos="-360"/>
          <w:tab w:val="left" w:pos="0"/>
          <w:tab w:val="left" w:pos="360"/>
        </w:tabs>
        <w:rPr>
          <w:rFonts w:ascii="Aptos" w:hAnsi="Aptos"/>
          <w:b/>
          <w:bCs/>
          <w:sz w:val="24"/>
        </w:rPr>
      </w:pPr>
    </w:p>
    <w:p w14:paraId="511D6B51" w14:textId="3031207C" w:rsidR="00F918FA" w:rsidRDefault="007C03E8" w:rsidP="00452C78">
      <w:pPr>
        <w:tabs>
          <w:tab w:val="left" w:pos="-360"/>
          <w:tab w:val="left" w:pos="0"/>
          <w:tab w:val="left" w:pos="360"/>
        </w:tabs>
        <w:rPr>
          <w:rFonts w:ascii="Aptos" w:hAnsi="Aptos"/>
          <w:b/>
          <w:bCs/>
          <w:sz w:val="24"/>
        </w:rPr>
      </w:pPr>
      <w:r>
        <w:rPr>
          <w:rFonts w:ascii="Aptos" w:hAnsi="Aptos"/>
          <w:b/>
          <w:bCs/>
          <w:sz w:val="24"/>
        </w:rPr>
        <w:lastRenderedPageBreak/>
        <w:tab/>
      </w:r>
      <w:r>
        <w:rPr>
          <w:rFonts w:ascii="Aptos" w:hAnsi="Aptos"/>
          <w:b/>
          <w:bCs/>
          <w:sz w:val="24"/>
        </w:rPr>
        <w:tab/>
      </w:r>
      <w:r>
        <w:rPr>
          <w:rFonts w:ascii="Aptos" w:hAnsi="Aptos"/>
          <w:b/>
          <w:bCs/>
          <w:sz w:val="24"/>
        </w:rPr>
        <w:tab/>
      </w:r>
      <w:r>
        <w:rPr>
          <w:rFonts w:ascii="Aptos" w:hAnsi="Aptos"/>
          <w:b/>
          <w:bCs/>
          <w:sz w:val="24"/>
        </w:rPr>
        <w:tab/>
      </w:r>
      <w:r>
        <w:rPr>
          <w:rFonts w:ascii="Aptos" w:hAnsi="Aptos"/>
          <w:b/>
          <w:bCs/>
          <w:sz w:val="24"/>
        </w:rPr>
        <w:tab/>
      </w:r>
      <w:r>
        <w:rPr>
          <w:rFonts w:ascii="Aptos" w:hAnsi="Aptos"/>
          <w:b/>
          <w:bCs/>
          <w:sz w:val="24"/>
        </w:rPr>
        <w:tab/>
      </w:r>
      <w:r>
        <w:rPr>
          <w:rFonts w:ascii="Aptos" w:hAnsi="Aptos"/>
          <w:b/>
          <w:bCs/>
          <w:sz w:val="24"/>
        </w:rPr>
        <w:tab/>
      </w:r>
      <w:r>
        <w:rPr>
          <w:rFonts w:ascii="Aptos" w:hAnsi="Aptos"/>
          <w:b/>
          <w:bCs/>
          <w:sz w:val="24"/>
        </w:rPr>
        <w:tab/>
      </w:r>
      <w:r>
        <w:rPr>
          <w:rFonts w:ascii="Aptos" w:hAnsi="Aptos"/>
          <w:b/>
          <w:bCs/>
          <w:sz w:val="24"/>
        </w:rPr>
        <w:tab/>
      </w:r>
      <w:r>
        <w:rPr>
          <w:rFonts w:ascii="Aptos" w:hAnsi="Aptos"/>
          <w:b/>
          <w:bCs/>
          <w:sz w:val="24"/>
        </w:rPr>
        <w:tab/>
      </w:r>
      <w:r>
        <w:rPr>
          <w:rFonts w:ascii="Aptos" w:hAnsi="Aptos"/>
          <w:b/>
          <w:bCs/>
          <w:sz w:val="24"/>
        </w:rPr>
        <w:tab/>
      </w:r>
      <w:r>
        <w:rPr>
          <w:rFonts w:ascii="Aptos" w:hAnsi="Aptos"/>
          <w:b/>
          <w:bCs/>
          <w:sz w:val="24"/>
        </w:rPr>
        <w:tab/>
      </w:r>
      <w:r w:rsidR="00E877DF">
        <w:rPr>
          <w:rFonts w:ascii="Aptos" w:hAnsi="Aptos"/>
          <w:b/>
          <w:bCs/>
          <w:sz w:val="24"/>
        </w:rPr>
        <w:t xml:space="preserve">Attachment 2-A </w:t>
      </w:r>
      <w:r w:rsidR="006D1120">
        <w:rPr>
          <w:rFonts w:ascii="Aptos" w:hAnsi="Aptos"/>
          <w:b/>
          <w:bCs/>
          <w:sz w:val="24"/>
        </w:rPr>
        <w:t>P</w:t>
      </w:r>
      <w:r w:rsidR="00E877DF">
        <w:rPr>
          <w:rFonts w:ascii="Aptos" w:hAnsi="Aptos"/>
          <w:b/>
          <w:bCs/>
          <w:sz w:val="24"/>
        </w:rPr>
        <w:t>age 2</w:t>
      </w:r>
    </w:p>
    <w:p w14:paraId="65B42FAB" w14:textId="77777777" w:rsidR="00F918FA" w:rsidRDefault="00F918FA" w:rsidP="00452C78">
      <w:pPr>
        <w:tabs>
          <w:tab w:val="left" w:pos="-360"/>
          <w:tab w:val="left" w:pos="0"/>
          <w:tab w:val="left" w:pos="360"/>
        </w:tabs>
        <w:rPr>
          <w:rFonts w:ascii="Aptos" w:hAnsi="Aptos"/>
          <w:b/>
          <w:bCs/>
          <w:sz w:val="24"/>
        </w:rPr>
      </w:pPr>
    </w:p>
    <w:p w14:paraId="41CCDA0C" w14:textId="70AADB83" w:rsidR="00452C78" w:rsidRDefault="00700CFC" w:rsidP="00452C78">
      <w:pPr>
        <w:tabs>
          <w:tab w:val="left" w:pos="-360"/>
          <w:tab w:val="left" w:pos="0"/>
          <w:tab w:val="left" w:pos="360"/>
        </w:tabs>
        <w:rPr>
          <w:rFonts w:ascii="Aptos" w:hAnsi="Aptos"/>
          <w:b/>
          <w:bCs/>
          <w:sz w:val="24"/>
        </w:rPr>
      </w:pPr>
      <w:r w:rsidRPr="00E270AB">
        <w:rPr>
          <w:rFonts w:ascii="Aptos" w:hAnsi="Aptos"/>
          <w:b/>
          <w:bCs/>
          <w:sz w:val="24"/>
        </w:rPr>
        <w:t xml:space="preserve"> CHEMICALS</w:t>
      </w:r>
      <w:r>
        <w:rPr>
          <w:rFonts w:ascii="Aptos" w:hAnsi="Aptos"/>
          <w:b/>
          <w:bCs/>
          <w:sz w:val="24"/>
        </w:rPr>
        <w:t xml:space="preserve"> IN MIXTURES</w:t>
      </w:r>
    </w:p>
    <w:p w14:paraId="4ADBA7C4" w14:textId="1A336C42" w:rsidR="00BA43CD" w:rsidRPr="00452C78" w:rsidRDefault="00BA43CD" w:rsidP="00452C78">
      <w:pPr>
        <w:tabs>
          <w:tab w:val="left" w:pos="-360"/>
          <w:tab w:val="left" w:pos="0"/>
          <w:tab w:val="left" w:pos="360"/>
        </w:tabs>
        <w:rPr>
          <w:rFonts w:ascii="Aptos" w:hAnsi="Aptos"/>
          <w:sz w:val="24"/>
        </w:rPr>
      </w:pPr>
      <w:r w:rsidRPr="00700CFC">
        <w:rPr>
          <w:rFonts w:ascii="Aptos Display" w:hAnsi="Aptos Display"/>
          <w:sz w:val="24"/>
        </w:rPr>
        <w:t xml:space="preserve">When determining whether the threshold quantity of an </w:t>
      </w:r>
      <w:r w:rsidRPr="00700CFC">
        <w:rPr>
          <w:rFonts w:ascii="Aptos Display" w:hAnsi="Aptos Display"/>
          <w:b/>
          <w:bCs/>
          <w:sz w:val="24"/>
        </w:rPr>
        <w:t>extremely hazardous substance (EHS)</w:t>
      </w:r>
      <w:r w:rsidRPr="00700CFC">
        <w:rPr>
          <w:rFonts w:ascii="Aptos Display" w:hAnsi="Aptos Display"/>
          <w:sz w:val="24"/>
        </w:rPr>
        <w:t xml:space="preserve"> has been met, facilities must include the total quantity of the EHS present in the pure form as well as in any mixture, even if any mixture including the EHS is also being reported as a hazardous chemical.</w:t>
      </w:r>
      <w:r w:rsidRPr="00700CFC">
        <w:rPr>
          <w:rFonts w:ascii="Aptos Display" w:hAnsi="Aptos Display"/>
          <w:b/>
          <w:bCs/>
          <w:sz w:val="24"/>
        </w:rPr>
        <w:t xml:space="preserve"> </w:t>
      </w:r>
    </w:p>
    <w:p w14:paraId="67BFF68D" w14:textId="77777777" w:rsidR="00BA43CD" w:rsidRPr="00700CFC" w:rsidRDefault="00BA43CD" w:rsidP="00BA43CD">
      <w:pPr>
        <w:rPr>
          <w:rFonts w:ascii="Aptos Display" w:hAnsi="Aptos Display"/>
          <w:sz w:val="24"/>
        </w:rPr>
      </w:pPr>
      <w:r w:rsidRPr="00700CFC">
        <w:rPr>
          <w:rFonts w:ascii="Aptos Display" w:hAnsi="Aptos Display"/>
          <w:sz w:val="24"/>
        </w:rPr>
        <w:t xml:space="preserve">For hazardous chemicals that are mixtures and </w:t>
      </w:r>
      <w:r w:rsidRPr="00700CFC">
        <w:rPr>
          <w:rFonts w:ascii="Aptos Display" w:hAnsi="Aptos Display"/>
          <w:b/>
          <w:bCs/>
          <w:sz w:val="24"/>
        </w:rPr>
        <w:t xml:space="preserve">do not </w:t>
      </w:r>
      <w:r w:rsidRPr="00700CFC">
        <w:rPr>
          <w:rFonts w:ascii="Aptos Display" w:hAnsi="Aptos Display"/>
          <w:sz w:val="24"/>
        </w:rPr>
        <w:t xml:space="preserve">contain any </w:t>
      </w:r>
      <w:r w:rsidRPr="00700CFC">
        <w:rPr>
          <w:rFonts w:ascii="Aptos Display" w:hAnsi="Aptos Display"/>
          <w:b/>
          <w:bCs/>
          <w:sz w:val="24"/>
        </w:rPr>
        <w:t xml:space="preserve">EHS, </w:t>
      </w:r>
      <w:r w:rsidRPr="00700CFC">
        <w:rPr>
          <w:rFonts w:ascii="Aptos Display" w:hAnsi="Aptos Display"/>
          <w:sz w:val="24"/>
        </w:rPr>
        <w:t xml:space="preserve">facilities have an option when determining whether the threshold quantity is present: (1) add together the quantity present in its pure form and as a component in all mixtures (even if the mixture is also being reported as a hazardous chemical), </w:t>
      </w:r>
      <w:r w:rsidRPr="00700CFC">
        <w:rPr>
          <w:rFonts w:ascii="Aptos Display" w:hAnsi="Aptos Display"/>
          <w:b/>
          <w:bCs/>
          <w:sz w:val="24"/>
        </w:rPr>
        <w:t xml:space="preserve">or </w:t>
      </w:r>
      <w:r w:rsidRPr="00700CFC">
        <w:rPr>
          <w:rFonts w:ascii="Aptos Display" w:hAnsi="Aptos Display"/>
          <w:sz w:val="24"/>
        </w:rPr>
        <w:t>(2) consider the total quantity of each mixture separately.</w:t>
      </w:r>
    </w:p>
    <w:p w14:paraId="0350B926" w14:textId="77777777" w:rsidR="00BA43CD" w:rsidRPr="00E270AB" w:rsidRDefault="00BA43CD" w:rsidP="004C267E">
      <w:pPr>
        <w:tabs>
          <w:tab w:val="left" w:pos="-360"/>
          <w:tab w:val="left" w:pos="0"/>
          <w:tab w:val="left" w:pos="360"/>
        </w:tabs>
        <w:rPr>
          <w:rFonts w:ascii="Aptos" w:hAnsi="Aptos"/>
          <w:sz w:val="24"/>
        </w:rPr>
      </w:pPr>
    </w:p>
    <w:p w14:paraId="3561832B" w14:textId="03225A69" w:rsidR="004C267E" w:rsidRPr="00E270AB" w:rsidRDefault="00700CFC" w:rsidP="004C267E">
      <w:pPr>
        <w:tabs>
          <w:tab w:val="left" w:pos="-360"/>
          <w:tab w:val="left" w:pos="0"/>
          <w:tab w:val="left" w:pos="360"/>
        </w:tabs>
        <w:rPr>
          <w:rFonts w:ascii="Aptos" w:hAnsi="Aptos"/>
          <w:sz w:val="24"/>
        </w:rPr>
      </w:pPr>
      <w:r>
        <w:rPr>
          <w:rFonts w:ascii="Aptos" w:hAnsi="Aptos"/>
          <w:b/>
          <w:bCs/>
          <w:sz w:val="24"/>
        </w:rPr>
        <w:t xml:space="preserve">WHAT </w:t>
      </w:r>
      <w:r w:rsidRPr="00E270AB">
        <w:rPr>
          <w:rFonts w:ascii="Aptos" w:hAnsi="Aptos"/>
          <w:b/>
          <w:bCs/>
          <w:sz w:val="24"/>
        </w:rPr>
        <w:t>CHEMICALS ARE EXCLUDED</w:t>
      </w:r>
    </w:p>
    <w:p w14:paraId="6EA4276A" w14:textId="77777777" w:rsidR="004C267E" w:rsidRPr="00E270AB" w:rsidRDefault="004C267E" w:rsidP="004C267E">
      <w:pPr>
        <w:tabs>
          <w:tab w:val="left" w:pos="-360"/>
          <w:tab w:val="left" w:pos="0"/>
          <w:tab w:val="left" w:pos="360"/>
        </w:tabs>
        <w:rPr>
          <w:rFonts w:ascii="Aptos" w:hAnsi="Aptos"/>
          <w:sz w:val="24"/>
        </w:rPr>
      </w:pPr>
    </w:p>
    <w:p w14:paraId="2A88F18A" w14:textId="77777777" w:rsidR="004C267E" w:rsidRPr="00E270AB" w:rsidRDefault="004C267E" w:rsidP="004C267E">
      <w:pPr>
        <w:tabs>
          <w:tab w:val="left" w:pos="-360"/>
          <w:tab w:val="left" w:pos="0"/>
          <w:tab w:val="left" w:pos="360"/>
        </w:tabs>
        <w:ind w:left="360" w:hanging="360"/>
        <w:rPr>
          <w:rFonts w:ascii="Aptos" w:hAnsi="Aptos"/>
          <w:sz w:val="24"/>
        </w:rPr>
      </w:pPr>
      <w:r w:rsidRPr="00E270AB">
        <w:rPr>
          <w:rFonts w:ascii="Aptos" w:hAnsi="Aptos"/>
          <w:sz w:val="24"/>
        </w:rPr>
        <w:t>1)</w:t>
      </w:r>
      <w:r w:rsidRPr="00E270AB">
        <w:rPr>
          <w:rFonts w:ascii="Aptos" w:hAnsi="Aptos"/>
          <w:sz w:val="24"/>
        </w:rPr>
        <w:tab/>
        <w:t>Any food additive, color additive, drug</w:t>
      </w:r>
      <w:r>
        <w:rPr>
          <w:rFonts w:ascii="Aptos" w:hAnsi="Aptos"/>
          <w:sz w:val="24"/>
        </w:rPr>
        <w:t>,</w:t>
      </w:r>
      <w:r w:rsidRPr="00E270AB">
        <w:rPr>
          <w:rFonts w:ascii="Aptos" w:hAnsi="Aptos"/>
          <w:sz w:val="24"/>
        </w:rPr>
        <w:t xml:space="preserve"> or cosmetic regulated by the Food and Drug Administration.</w:t>
      </w:r>
    </w:p>
    <w:p w14:paraId="62A7017D" w14:textId="77777777" w:rsidR="004C267E" w:rsidRPr="00E270AB" w:rsidRDefault="004C267E" w:rsidP="004C267E">
      <w:pPr>
        <w:tabs>
          <w:tab w:val="left" w:pos="-360"/>
          <w:tab w:val="left" w:pos="0"/>
          <w:tab w:val="left" w:pos="360"/>
        </w:tabs>
        <w:ind w:left="360" w:hanging="360"/>
        <w:rPr>
          <w:rFonts w:ascii="Aptos" w:hAnsi="Aptos"/>
          <w:sz w:val="24"/>
        </w:rPr>
      </w:pPr>
      <w:r w:rsidRPr="00E270AB">
        <w:rPr>
          <w:rFonts w:ascii="Aptos" w:hAnsi="Aptos"/>
          <w:sz w:val="24"/>
        </w:rPr>
        <w:t>2)</w:t>
      </w:r>
      <w:r w:rsidRPr="00E270AB">
        <w:rPr>
          <w:rFonts w:ascii="Aptos" w:hAnsi="Aptos"/>
          <w:sz w:val="24"/>
        </w:rPr>
        <w:tab/>
        <w:t xml:space="preserve">Any substance </w:t>
      </w:r>
      <w:r>
        <w:rPr>
          <w:rFonts w:ascii="Aptos" w:hAnsi="Aptos"/>
          <w:sz w:val="24"/>
        </w:rPr>
        <w:t xml:space="preserve">present as a solid in any manufactured item to the extent that </w:t>
      </w:r>
      <w:r w:rsidRPr="00E270AB">
        <w:rPr>
          <w:rFonts w:ascii="Aptos" w:hAnsi="Aptos"/>
          <w:sz w:val="24"/>
        </w:rPr>
        <w:t>exposure to the substance does not occur under normal conditions of use.</w:t>
      </w:r>
    </w:p>
    <w:p w14:paraId="3BF107C1" w14:textId="77777777" w:rsidR="004C267E" w:rsidRPr="00E270AB" w:rsidRDefault="004C267E" w:rsidP="004C267E">
      <w:pPr>
        <w:tabs>
          <w:tab w:val="left" w:pos="-360"/>
          <w:tab w:val="left" w:pos="0"/>
          <w:tab w:val="left" w:pos="360"/>
        </w:tabs>
        <w:ind w:left="360" w:hanging="360"/>
        <w:rPr>
          <w:rFonts w:ascii="Aptos" w:hAnsi="Aptos"/>
          <w:sz w:val="24"/>
        </w:rPr>
      </w:pPr>
      <w:r w:rsidRPr="00E270AB">
        <w:rPr>
          <w:rFonts w:ascii="Aptos" w:hAnsi="Aptos"/>
          <w:sz w:val="24"/>
        </w:rPr>
        <w:t>3)</w:t>
      </w:r>
      <w:r w:rsidRPr="00E270AB">
        <w:rPr>
          <w:rFonts w:ascii="Aptos" w:hAnsi="Aptos"/>
          <w:sz w:val="24"/>
        </w:rPr>
        <w:tab/>
        <w:t>Any substance to the extent it is used for personal, family, or household purposes, or is present in the same form and concentration as a product packaged for distribution and use by the public.</w:t>
      </w:r>
    </w:p>
    <w:p w14:paraId="28C34DCF" w14:textId="77777777" w:rsidR="004C267E" w:rsidRPr="00E270AB" w:rsidRDefault="004C267E" w:rsidP="004C267E">
      <w:pPr>
        <w:tabs>
          <w:tab w:val="left" w:pos="-360"/>
          <w:tab w:val="left" w:pos="0"/>
          <w:tab w:val="left" w:pos="360"/>
        </w:tabs>
        <w:ind w:left="360" w:hanging="360"/>
        <w:rPr>
          <w:rFonts w:ascii="Aptos" w:hAnsi="Aptos"/>
          <w:sz w:val="24"/>
        </w:rPr>
      </w:pPr>
      <w:r w:rsidRPr="00E270AB">
        <w:rPr>
          <w:rFonts w:ascii="Aptos" w:hAnsi="Aptos"/>
          <w:sz w:val="24"/>
        </w:rPr>
        <w:t>4)</w:t>
      </w:r>
      <w:r w:rsidRPr="00E270AB">
        <w:rPr>
          <w:rFonts w:ascii="Aptos" w:hAnsi="Aptos"/>
          <w:sz w:val="24"/>
        </w:rPr>
        <w:tab/>
        <w:t xml:space="preserve">Any substance to the extent it is used in </w:t>
      </w:r>
      <w:r>
        <w:rPr>
          <w:rFonts w:ascii="Aptos" w:hAnsi="Aptos"/>
          <w:sz w:val="24"/>
        </w:rPr>
        <w:t xml:space="preserve">a </w:t>
      </w:r>
      <w:r w:rsidRPr="00E270AB">
        <w:rPr>
          <w:rFonts w:ascii="Aptos" w:hAnsi="Aptos"/>
          <w:sz w:val="24"/>
        </w:rPr>
        <w:t>research laboratory</w:t>
      </w:r>
      <w:r>
        <w:rPr>
          <w:rFonts w:ascii="Aptos" w:hAnsi="Aptos"/>
          <w:sz w:val="24"/>
        </w:rPr>
        <w:t>,</w:t>
      </w:r>
      <w:r w:rsidRPr="00E270AB">
        <w:rPr>
          <w:rFonts w:ascii="Aptos" w:hAnsi="Aptos"/>
          <w:sz w:val="24"/>
        </w:rPr>
        <w:t xml:space="preserve"> a hospital</w:t>
      </w:r>
      <w:r>
        <w:rPr>
          <w:rFonts w:ascii="Aptos" w:hAnsi="Aptos"/>
          <w:sz w:val="24"/>
        </w:rPr>
        <w:t>,</w:t>
      </w:r>
      <w:r w:rsidRPr="00E270AB">
        <w:rPr>
          <w:rFonts w:ascii="Aptos" w:hAnsi="Aptos"/>
          <w:sz w:val="24"/>
        </w:rPr>
        <w:t xml:space="preserve"> or other medical facility under the direct supervision of a technically qualified individual; and</w:t>
      </w:r>
    </w:p>
    <w:p w14:paraId="678CB7BE" w14:textId="77777777" w:rsidR="004C267E" w:rsidRDefault="004C267E" w:rsidP="004C267E">
      <w:pPr>
        <w:tabs>
          <w:tab w:val="left" w:pos="-360"/>
          <w:tab w:val="left" w:pos="0"/>
          <w:tab w:val="left" w:pos="360"/>
        </w:tabs>
        <w:ind w:left="360" w:hanging="360"/>
        <w:rPr>
          <w:rFonts w:ascii="Aptos" w:hAnsi="Aptos"/>
          <w:sz w:val="24"/>
        </w:rPr>
      </w:pPr>
      <w:r w:rsidRPr="00E270AB">
        <w:rPr>
          <w:rFonts w:ascii="Aptos" w:hAnsi="Aptos"/>
          <w:sz w:val="24"/>
        </w:rPr>
        <w:t>5)</w:t>
      </w:r>
      <w:r w:rsidRPr="00E270AB">
        <w:rPr>
          <w:rFonts w:ascii="Aptos" w:hAnsi="Aptos"/>
          <w:sz w:val="24"/>
        </w:rPr>
        <w:tab/>
        <w:t>Any substance to the extent it is used in routine agricultural operations or is a fertilizer held for sale by a retailer to the ultimate customer.</w:t>
      </w:r>
    </w:p>
    <w:p w14:paraId="20375968" w14:textId="77777777" w:rsidR="00FF3FC8" w:rsidRPr="00E270AB" w:rsidRDefault="00FF3FC8" w:rsidP="004C267E">
      <w:pPr>
        <w:tabs>
          <w:tab w:val="left" w:pos="-360"/>
          <w:tab w:val="left" w:pos="0"/>
          <w:tab w:val="left" w:pos="360"/>
        </w:tabs>
        <w:ind w:left="360" w:hanging="360"/>
        <w:rPr>
          <w:rFonts w:ascii="Aptos" w:hAnsi="Aptos"/>
          <w:sz w:val="24"/>
        </w:rPr>
      </w:pPr>
    </w:p>
    <w:p w14:paraId="1C71E10C" w14:textId="77777777" w:rsidR="004C267E" w:rsidRPr="00E270AB" w:rsidRDefault="004C267E" w:rsidP="004C267E">
      <w:pPr>
        <w:tabs>
          <w:tab w:val="left" w:pos="-360"/>
          <w:tab w:val="left" w:pos="0"/>
          <w:tab w:val="left" w:pos="360"/>
        </w:tabs>
        <w:rPr>
          <w:rFonts w:ascii="Aptos" w:hAnsi="Aptos"/>
          <w:sz w:val="24"/>
        </w:rPr>
      </w:pPr>
      <w:r w:rsidRPr="00E270AB">
        <w:rPr>
          <w:rFonts w:ascii="Aptos" w:hAnsi="Aptos"/>
          <w:sz w:val="24"/>
        </w:rPr>
        <w:t>In 1999, Federal EPCRA Section 311-312 threshold planning quantities increased to 75,000 gallons for gasoline and 100,000 gallons for diesel for Retail Gasoline Stations that are in full compliance with underground storage tank regulations for the year.</w:t>
      </w:r>
    </w:p>
    <w:p w14:paraId="188CE870" w14:textId="0421DD59" w:rsidR="0075089B" w:rsidRDefault="0075089B" w:rsidP="0075089B">
      <w:pPr>
        <w:rPr>
          <w:rFonts w:ascii="Aptos" w:hAnsi="Aptos"/>
          <w:sz w:val="24"/>
        </w:rPr>
      </w:pPr>
      <w:r w:rsidRPr="003D3AA4">
        <w:rPr>
          <w:rFonts w:ascii="Aptos" w:hAnsi="Aptos"/>
          <w:sz w:val="24"/>
        </w:rPr>
        <w:t xml:space="preserve">For those Retail Gasoline Stations that </w:t>
      </w:r>
      <w:r w:rsidRPr="003D3AA4">
        <w:rPr>
          <w:rFonts w:ascii="Aptos" w:hAnsi="Aptos"/>
          <w:b/>
          <w:sz w:val="24"/>
        </w:rPr>
        <w:t>have violations documented during a compliance inspection</w:t>
      </w:r>
      <w:r w:rsidRPr="003D3AA4">
        <w:rPr>
          <w:rFonts w:ascii="Aptos" w:hAnsi="Aptos"/>
          <w:sz w:val="24"/>
        </w:rPr>
        <w:t xml:space="preserve">, the TPQ reverts to 10,000 pounds for the reporting year following the year in which the violation occurred.  Call the EPA hotline at 1(800) 424-9346, the HEER Office at (808) 586-4249, or check </w:t>
      </w:r>
      <w:hyperlink r:id="rId10" w:history="1">
        <w:r w:rsidRPr="003D3AA4">
          <w:rPr>
            <w:rStyle w:val="Hyperlink"/>
            <w:rFonts w:ascii="Aptos" w:eastAsiaTheme="majorEastAsia" w:hAnsi="Aptos"/>
            <w:sz w:val="24"/>
          </w:rPr>
          <w:t>https://www.epa.gov/epcra/eligibility-gasoline-and-diesel-thresholds-retail-gas-stations</w:t>
        </w:r>
      </w:hyperlink>
      <w:r w:rsidRPr="003D3AA4">
        <w:rPr>
          <w:rFonts w:ascii="Aptos" w:hAnsi="Aptos"/>
          <w:sz w:val="24"/>
        </w:rPr>
        <w:t xml:space="preserve"> for more information. </w:t>
      </w:r>
    </w:p>
    <w:p w14:paraId="18CCB220" w14:textId="77777777" w:rsidR="007E67A5" w:rsidRPr="00735A80" w:rsidRDefault="007E67A5" w:rsidP="007E67A5">
      <w:pPr>
        <w:pStyle w:val="Heading1"/>
        <w:rPr>
          <w:rFonts w:ascii="Aptos" w:hAnsi="Aptos"/>
          <w:sz w:val="24"/>
          <w:szCs w:val="24"/>
        </w:rPr>
      </w:pPr>
      <w:r w:rsidRPr="00735A80">
        <w:rPr>
          <w:rFonts w:ascii="Aptos" w:hAnsi="Aptos"/>
          <w:sz w:val="24"/>
          <w:szCs w:val="24"/>
        </w:rPr>
        <w:t>Safety Data Sheet (SDS) Handling</w:t>
      </w:r>
    </w:p>
    <w:p w14:paraId="7FDA305D" w14:textId="383DE1DB" w:rsidR="007E67A5" w:rsidRDefault="007E67A5" w:rsidP="007E67A5">
      <w:pPr>
        <w:rPr>
          <w:rFonts w:ascii="Aptos" w:hAnsi="Aptos"/>
          <w:sz w:val="24"/>
        </w:rPr>
      </w:pPr>
      <w:r w:rsidRPr="00735A80">
        <w:rPr>
          <w:rFonts w:ascii="Aptos" w:hAnsi="Aptos"/>
          <w:sz w:val="24"/>
        </w:rPr>
        <w:t xml:space="preserve">The HEER Office requests that facilities </w:t>
      </w:r>
      <w:r w:rsidRPr="00735A80">
        <w:rPr>
          <w:rFonts w:ascii="Aptos" w:hAnsi="Aptos"/>
          <w:b/>
          <w:sz w:val="24"/>
          <w:u w:val="single"/>
        </w:rPr>
        <w:t>do not</w:t>
      </w:r>
      <w:r w:rsidRPr="00735A80">
        <w:rPr>
          <w:rFonts w:ascii="Aptos" w:hAnsi="Aptos"/>
          <w:sz w:val="24"/>
        </w:rPr>
        <w:t xml:space="preserve"> submit SDSs with their forms. Facilities are required to maintain current SDSs for </w:t>
      </w:r>
      <w:r w:rsidR="00C60626">
        <w:rPr>
          <w:rFonts w:ascii="Aptos" w:hAnsi="Aptos"/>
          <w:sz w:val="24"/>
        </w:rPr>
        <w:t>their</w:t>
      </w:r>
      <w:r w:rsidRPr="00735A80">
        <w:rPr>
          <w:rFonts w:ascii="Aptos" w:hAnsi="Aptos"/>
          <w:sz w:val="24"/>
        </w:rPr>
        <w:t xml:space="preserve"> hazardous substances and to have them available upon request.</w:t>
      </w:r>
    </w:p>
    <w:p w14:paraId="489A4ADF" w14:textId="77777777" w:rsidR="00D04497" w:rsidRDefault="00D04497" w:rsidP="007E67A5">
      <w:pPr>
        <w:rPr>
          <w:rFonts w:ascii="Aptos" w:hAnsi="Aptos"/>
          <w:sz w:val="24"/>
        </w:rPr>
      </w:pPr>
    </w:p>
    <w:p w14:paraId="37F8E8BB" w14:textId="77777777" w:rsidR="00D04497" w:rsidRPr="00D04497" w:rsidRDefault="00D04497" w:rsidP="00D04497">
      <w:pPr>
        <w:rPr>
          <w:rFonts w:ascii="Aptos" w:hAnsi="Aptos"/>
          <w:sz w:val="24"/>
          <w:u w:val="single"/>
        </w:rPr>
      </w:pPr>
      <w:r w:rsidRPr="00D04497">
        <w:rPr>
          <w:rFonts w:ascii="Aptos" w:hAnsi="Aptos"/>
          <w:sz w:val="24"/>
          <w:u w:val="single"/>
        </w:rPr>
        <w:t>Hawaii Emergency Planning and Community Right-to-Know Act Facility Identification Number (HEPCRA Facility ID No.)</w:t>
      </w:r>
    </w:p>
    <w:p w14:paraId="63052A52" w14:textId="77777777" w:rsidR="00D04497" w:rsidRPr="00D04497" w:rsidRDefault="00D04497" w:rsidP="00D04497">
      <w:pPr>
        <w:rPr>
          <w:rFonts w:ascii="Aptos" w:hAnsi="Aptos"/>
          <w:sz w:val="24"/>
          <w:u w:val="single"/>
        </w:rPr>
      </w:pPr>
    </w:p>
    <w:p w14:paraId="58356434" w14:textId="51123AF0" w:rsidR="00D04497" w:rsidRPr="00985DA6" w:rsidRDefault="00D04497" w:rsidP="00D04497">
      <w:pPr>
        <w:rPr>
          <w:rFonts w:ascii="Aptos" w:hAnsi="Aptos"/>
          <w:b/>
          <w:bCs/>
          <w:sz w:val="24"/>
        </w:rPr>
      </w:pPr>
      <w:r w:rsidRPr="00985DA6">
        <w:rPr>
          <w:rFonts w:ascii="Aptos" w:hAnsi="Aptos"/>
          <w:b/>
          <w:bCs/>
          <w:sz w:val="24"/>
        </w:rPr>
        <w:t>HEPCRA Facility ID N</w:t>
      </w:r>
      <w:r w:rsidR="00985DA6" w:rsidRPr="00985DA6">
        <w:rPr>
          <w:rFonts w:ascii="Aptos" w:hAnsi="Aptos"/>
          <w:b/>
          <w:bCs/>
          <w:sz w:val="24"/>
        </w:rPr>
        <w:t>UMBERS</w:t>
      </w:r>
      <w:r w:rsidRPr="00985DA6">
        <w:rPr>
          <w:rFonts w:ascii="Aptos" w:hAnsi="Aptos"/>
          <w:b/>
          <w:bCs/>
          <w:sz w:val="24"/>
        </w:rPr>
        <w:t xml:space="preserve"> </w:t>
      </w:r>
      <w:r w:rsidR="00985DA6" w:rsidRPr="00985DA6">
        <w:rPr>
          <w:rFonts w:ascii="Aptos" w:hAnsi="Aptos"/>
          <w:b/>
          <w:bCs/>
          <w:sz w:val="24"/>
        </w:rPr>
        <w:t>ARE UNIQUE NUMBERS ISSUED BY HEER</w:t>
      </w:r>
    </w:p>
    <w:p w14:paraId="1352059F" w14:textId="77777777" w:rsidR="00D04497" w:rsidRPr="00D04497" w:rsidRDefault="00D04497" w:rsidP="00D04497">
      <w:pPr>
        <w:rPr>
          <w:rFonts w:ascii="Aptos" w:hAnsi="Aptos"/>
          <w:sz w:val="24"/>
        </w:rPr>
      </w:pPr>
    </w:p>
    <w:p w14:paraId="4CAE595C" w14:textId="77777777" w:rsidR="00D04497" w:rsidRPr="00D04497" w:rsidRDefault="00D04497" w:rsidP="00D04497">
      <w:pPr>
        <w:numPr>
          <w:ilvl w:val="0"/>
          <w:numId w:val="3"/>
        </w:numPr>
        <w:rPr>
          <w:rFonts w:ascii="Aptos" w:hAnsi="Aptos"/>
          <w:sz w:val="24"/>
        </w:rPr>
      </w:pPr>
      <w:r w:rsidRPr="00D04497">
        <w:rPr>
          <w:rFonts w:ascii="Aptos" w:hAnsi="Aptos"/>
          <w:sz w:val="24"/>
        </w:rPr>
        <w:t xml:space="preserve">If you are submitting for the first time, a HEPCRA Facility ID number needs to be provided to you. Contact the HEER Office to get a new Facility ID number.  </w:t>
      </w:r>
    </w:p>
    <w:p w14:paraId="57A70BE4" w14:textId="77777777" w:rsidR="00D04497" w:rsidRPr="00D04497" w:rsidRDefault="00D04497" w:rsidP="00D04497">
      <w:pPr>
        <w:numPr>
          <w:ilvl w:val="0"/>
          <w:numId w:val="3"/>
        </w:numPr>
        <w:rPr>
          <w:rFonts w:ascii="Aptos" w:hAnsi="Aptos"/>
          <w:sz w:val="24"/>
        </w:rPr>
      </w:pPr>
      <w:r w:rsidRPr="00D04497">
        <w:rPr>
          <w:rFonts w:ascii="Aptos" w:hAnsi="Aptos"/>
          <w:sz w:val="24"/>
        </w:rPr>
        <w:t>If your facility changes ownership or name but remains in the same location, the HEPCRA Facility ID remains the same.</w:t>
      </w:r>
    </w:p>
    <w:p w14:paraId="3E801221" w14:textId="77777777" w:rsidR="00D04497" w:rsidRPr="00D04497" w:rsidRDefault="00D04497" w:rsidP="00D04497">
      <w:pPr>
        <w:numPr>
          <w:ilvl w:val="0"/>
          <w:numId w:val="3"/>
        </w:numPr>
        <w:rPr>
          <w:rFonts w:ascii="Aptos" w:hAnsi="Aptos"/>
          <w:sz w:val="24"/>
        </w:rPr>
      </w:pPr>
      <w:r w:rsidRPr="00D04497">
        <w:rPr>
          <w:rFonts w:ascii="Aptos" w:hAnsi="Aptos"/>
          <w:sz w:val="24"/>
        </w:rPr>
        <w:t>If your facility moves, let the HEER Office know, as a HEPCRA Facility ID number may already exist for that specific location, or a new HEPCRA Facility ID number may need to be provided to you.</w:t>
      </w:r>
    </w:p>
    <w:p w14:paraId="52444FD5" w14:textId="77777777" w:rsidR="00D04497" w:rsidRPr="00D04497" w:rsidRDefault="00D04497" w:rsidP="00D04497">
      <w:pPr>
        <w:rPr>
          <w:rFonts w:ascii="Aptos" w:hAnsi="Aptos"/>
          <w:sz w:val="24"/>
        </w:rPr>
      </w:pPr>
    </w:p>
    <w:p w14:paraId="7335F520" w14:textId="1D32D081" w:rsidR="004F7373" w:rsidRPr="00536ED2" w:rsidRDefault="00536ED2" w:rsidP="007B6016">
      <w:pPr>
        <w:ind w:left="7920"/>
        <w:rPr>
          <w:rFonts w:ascii="Aptos" w:hAnsi="Aptos"/>
          <w:b/>
          <w:bCs/>
          <w:sz w:val="24"/>
        </w:rPr>
      </w:pPr>
      <w:r>
        <w:rPr>
          <w:rFonts w:ascii="Aptos" w:hAnsi="Aptos"/>
          <w:b/>
          <w:bCs/>
          <w:sz w:val="24"/>
        </w:rPr>
        <w:lastRenderedPageBreak/>
        <w:t>Attachment 2</w:t>
      </w:r>
      <w:r w:rsidR="008303EC">
        <w:rPr>
          <w:rFonts w:ascii="Aptos" w:hAnsi="Aptos"/>
          <w:b/>
          <w:bCs/>
          <w:sz w:val="24"/>
        </w:rPr>
        <w:t>-A</w:t>
      </w:r>
      <w:r>
        <w:rPr>
          <w:rFonts w:ascii="Aptos" w:hAnsi="Aptos"/>
          <w:b/>
          <w:bCs/>
          <w:sz w:val="24"/>
        </w:rPr>
        <w:t xml:space="preserve"> </w:t>
      </w:r>
      <w:r w:rsidR="00F35B40">
        <w:rPr>
          <w:rFonts w:ascii="Aptos" w:hAnsi="Aptos"/>
          <w:b/>
          <w:bCs/>
          <w:sz w:val="24"/>
        </w:rPr>
        <w:t>P</w:t>
      </w:r>
      <w:r>
        <w:rPr>
          <w:rFonts w:ascii="Aptos" w:hAnsi="Aptos"/>
          <w:b/>
          <w:bCs/>
          <w:sz w:val="24"/>
        </w:rPr>
        <w:t>age 3</w:t>
      </w:r>
    </w:p>
    <w:p w14:paraId="2985640A" w14:textId="77777777" w:rsidR="004F7373" w:rsidRDefault="004F7373" w:rsidP="00D04497">
      <w:pPr>
        <w:rPr>
          <w:rFonts w:ascii="Aptos" w:hAnsi="Aptos"/>
          <w:sz w:val="24"/>
        </w:rPr>
      </w:pPr>
    </w:p>
    <w:p w14:paraId="21B78209" w14:textId="7809C2DC" w:rsidR="00D04497" w:rsidRPr="00D04497" w:rsidRDefault="00D04497" w:rsidP="00D04497">
      <w:pPr>
        <w:rPr>
          <w:rFonts w:ascii="Aptos" w:hAnsi="Aptos"/>
          <w:sz w:val="24"/>
        </w:rPr>
      </w:pPr>
      <w:r w:rsidRPr="00D04497">
        <w:rPr>
          <w:rFonts w:ascii="Aptos" w:hAnsi="Aptos"/>
          <w:sz w:val="24"/>
        </w:rPr>
        <w:t xml:space="preserve">For questions about HEPCRA Facility ID Numbers, please call (808) 586-4249 or go to </w:t>
      </w:r>
    </w:p>
    <w:p w14:paraId="18045D14" w14:textId="77777777" w:rsidR="00D04497" w:rsidRPr="00D04497" w:rsidRDefault="00D04497" w:rsidP="00D04497">
      <w:pPr>
        <w:rPr>
          <w:rFonts w:ascii="Aptos" w:hAnsi="Aptos"/>
          <w:sz w:val="24"/>
        </w:rPr>
      </w:pPr>
      <w:hyperlink r:id="rId11" w:history="1">
        <w:r w:rsidRPr="00D04497">
          <w:rPr>
            <w:rStyle w:val="Hyperlink"/>
            <w:rFonts w:ascii="Aptos" w:eastAsiaTheme="majorEastAsia" w:hAnsi="Aptos"/>
            <w:sz w:val="24"/>
          </w:rPr>
          <w:t>https://health.hawaii.gov/heer/contact-us/</w:t>
        </w:r>
      </w:hyperlink>
      <w:r w:rsidRPr="00D04497">
        <w:rPr>
          <w:rFonts w:ascii="Aptos" w:hAnsi="Aptos"/>
          <w:sz w:val="24"/>
        </w:rPr>
        <w:t xml:space="preserve">, and complete the HEER contact form.   </w:t>
      </w:r>
    </w:p>
    <w:p w14:paraId="57D347D9" w14:textId="77777777" w:rsidR="004C267E" w:rsidRPr="00E270AB" w:rsidRDefault="004C267E" w:rsidP="004C267E">
      <w:pPr>
        <w:tabs>
          <w:tab w:val="left" w:pos="-360"/>
          <w:tab w:val="left" w:pos="0"/>
          <w:tab w:val="left" w:pos="360"/>
        </w:tabs>
        <w:rPr>
          <w:rFonts w:ascii="Aptos" w:hAnsi="Aptos"/>
          <w:sz w:val="24"/>
        </w:rPr>
      </w:pPr>
    </w:p>
    <w:p w14:paraId="17FBBA28" w14:textId="6D3F5EBB" w:rsidR="0030244D" w:rsidRPr="00205A54" w:rsidRDefault="0030244D" w:rsidP="00A747CD">
      <w:pPr>
        <w:pStyle w:val="Title"/>
        <w:tabs>
          <w:tab w:val="left" w:pos="720"/>
          <w:tab w:val="left" w:pos="1440"/>
          <w:tab w:val="left" w:pos="2160"/>
          <w:tab w:val="left" w:pos="2880"/>
          <w:tab w:val="left" w:pos="3600"/>
          <w:tab w:val="left" w:pos="4320"/>
          <w:tab w:val="left" w:pos="5040"/>
          <w:tab w:val="left" w:pos="5760"/>
          <w:tab w:val="left" w:pos="6480"/>
          <w:tab w:val="left" w:pos="7575"/>
        </w:tabs>
        <w:rPr>
          <w:rFonts w:ascii="Aptos" w:hAnsi="Aptos"/>
          <w:b/>
          <w:bCs/>
          <w:sz w:val="24"/>
          <w:szCs w:val="24"/>
        </w:rPr>
      </w:pPr>
      <w:r w:rsidRPr="00205A54">
        <w:rPr>
          <w:rFonts w:ascii="Aptos" w:hAnsi="Aptos"/>
          <w:b/>
          <w:bCs/>
          <w:sz w:val="24"/>
          <w:szCs w:val="24"/>
        </w:rPr>
        <w:t>S</w:t>
      </w:r>
      <w:r w:rsidR="00985DA6">
        <w:rPr>
          <w:rFonts w:ascii="Aptos" w:hAnsi="Aptos"/>
          <w:b/>
          <w:bCs/>
          <w:sz w:val="24"/>
          <w:szCs w:val="24"/>
        </w:rPr>
        <w:t xml:space="preserve">UBMITTING YOUR TIER II CHEMICAL INVENTORY REPORT TO </w:t>
      </w:r>
      <w:r w:rsidR="00113D7A">
        <w:rPr>
          <w:rFonts w:ascii="Aptos" w:hAnsi="Aptos"/>
          <w:b/>
          <w:bCs/>
          <w:sz w:val="24"/>
          <w:szCs w:val="24"/>
        </w:rPr>
        <w:t>THE HEER</w:t>
      </w:r>
      <w:r w:rsidR="00985DA6">
        <w:rPr>
          <w:rFonts w:ascii="Aptos" w:hAnsi="Aptos"/>
          <w:b/>
          <w:bCs/>
          <w:sz w:val="24"/>
          <w:szCs w:val="24"/>
        </w:rPr>
        <w:t xml:space="preserve"> OFFICE</w:t>
      </w:r>
    </w:p>
    <w:p w14:paraId="2F214F2C" w14:textId="77777777" w:rsidR="0030244D" w:rsidRDefault="0030244D" w:rsidP="0030244D">
      <w:pPr>
        <w:jc w:val="center"/>
      </w:pPr>
    </w:p>
    <w:p w14:paraId="2BE71F21" w14:textId="77777777" w:rsidR="0030244D" w:rsidRPr="00205A54" w:rsidRDefault="0030244D" w:rsidP="0030244D">
      <w:pPr>
        <w:rPr>
          <w:rFonts w:asciiTheme="minorHAnsi" w:hAnsiTheme="minorHAnsi"/>
          <w:sz w:val="24"/>
        </w:rPr>
      </w:pPr>
      <w:r w:rsidRPr="00205A54">
        <w:rPr>
          <w:rFonts w:asciiTheme="minorHAnsi" w:hAnsiTheme="minorHAnsi"/>
          <w:sz w:val="24"/>
        </w:rPr>
        <w:t xml:space="preserve">The </w:t>
      </w:r>
      <w:r w:rsidRPr="00205A54">
        <w:rPr>
          <w:rFonts w:asciiTheme="minorHAnsi" w:hAnsiTheme="minorHAnsi"/>
          <w:b/>
          <w:sz w:val="24"/>
        </w:rPr>
        <w:t>DEADLINE</w:t>
      </w:r>
      <w:r w:rsidRPr="00205A54">
        <w:rPr>
          <w:rFonts w:asciiTheme="minorHAnsi" w:hAnsiTheme="minorHAnsi"/>
          <w:sz w:val="24"/>
        </w:rPr>
        <w:t xml:space="preserve"> for filing your Tier II Chemical Inventory Report is </w:t>
      </w:r>
      <w:r w:rsidRPr="00205A54">
        <w:rPr>
          <w:rFonts w:asciiTheme="minorHAnsi" w:hAnsiTheme="minorHAnsi"/>
          <w:b/>
          <w:bCs/>
          <w:sz w:val="24"/>
        </w:rPr>
        <w:t>March 1, 2026</w:t>
      </w:r>
      <w:r w:rsidRPr="00205A54">
        <w:rPr>
          <w:rFonts w:asciiTheme="minorHAnsi" w:hAnsiTheme="minorHAnsi"/>
          <w:bCs/>
          <w:sz w:val="24"/>
        </w:rPr>
        <w:t>.</w:t>
      </w:r>
      <w:r w:rsidRPr="00205A54">
        <w:rPr>
          <w:rFonts w:asciiTheme="minorHAnsi" w:hAnsiTheme="minorHAnsi"/>
          <w:sz w:val="24"/>
        </w:rPr>
        <w:t xml:space="preserve">  </w:t>
      </w:r>
    </w:p>
    <w:p w14:paraId="5CA20E27" w14:textId="77777777" w:rsidR="0030244D" w:rsidRPr="00205A54" w:rsidRDefault="0030244D" w:rsidP="0030244D">
      <w:pPr>
        <w:rPr>
          <w:rFonts w:asciiTheme="minorHAnsi" w:hAnsiTheme="minorHAnsi"/>
          <w:sz w:val="24"/>
        </w:rPr>
      </w:pPr>
      <w:r w:rsidRPr="00205A54">
        <w:rPr>
          <w:rFonts w:asciiTheme="minorHAnsi" w:hAnsiTheme="minorHAnsi"/>
          <w:sz w:val="24"/>
        </w:rPr>
        <w:t xml:space="preserve">The Tier II submission to the Hazard Evaluation and Emergency Response Office must include the following: </w:t>
      </w:r>
    </w:p>
    <w:p w14:paraId="5005CDDA" w14:textId="3BD4D0DC" w:rsidR="0030244D" w:rsidRPr="00205A54" w:rsidRDefault="0030244D" w:rsidP="0030244D">
      <w:pPr>
        <w:widowControl/>
        <w:numPr>
          <w:ilvl w:val="0"/>
          <w:numId w:val="1"/>
        </w:numPr>
        <w:autoSpaceDE/>
        <w:autoSpaceDN/>
        <w:adjustRightInd/>
        <w:rPr>
          <w:rFonts w:asciiTheme="minorHAnsi" w:hAnsiTheme="minorHAnsi"/>
          <w:sz w:val="24"/>
        </w:rPr>
      </w:pPr>
      <w:r w:rsidRPr="00205A54">
        <w:rPr>
          <w:rFonts w:asciiTheme="minorHAnsi" w:hAnsiTheme="minorHAnsi"/>
          <w:sz w:val="24"/>
        </w:rPr>
        <w:t>The completed Chemical Inventory Report (Tier II) form(s</w:t>
      </w:r>
      <w:proofErr w:type="gramStart"/>
      <w:r w:rsidRPr="00205A54">
        <w:rPr>
          <w:rFonts w:asciiTheme="minorHAnsi" w:hAnsiTheme="minorHAnsi"/>
          <w:sz w:val="24"/>
        </w:rPr>
        <w:t>)</w:t>
      </w:r>
      <w:r w:rsidR="00635A5F">
        <w:rPr>
          <w:rFonts w:asciiTheme="minorHAnsi" w:hAnsiTheme="minorHAnsi"/>
          <w:sz w:val="24"/>
        </w:rPr>
        <w:t>;</w:t>
      </w:r>
      <w:proofErr w:type="gramEnd"/>
    </w:p>
    <w:p w14:paraId="09B6FC51" w14:textId="77777777" w:rsidR="0030244D" w:rsidRPr="00205A54" w:rsidRDefault="0030244D" w:rsidP="0030244D">
      <w:pPr>
        <w:widowControl/>
        <w:numPr>
          <w:ilvl w:val="0"/>
          <w:numId w:val="1"/>
        </w:numPr>
        <w:autoSpaceDE/>
        <w:autoSpaceDN/>
        <w:adjustRightInd/>
        <w:rPr>
          <w:rFonts w:asciiTheme="minorHAnsi" w:hAnsiTheme="minorHAnsi"/>
          <w:b/>
          <w:bCs/>
          <w:sz w:val="24"/>
        </w:rPr>
      </w:pPr>
      <w:r w:rsidRPr="00205A54">
        <w:rPr>
          <w:rFonts w:asciiTheme="minorHAnsi" w:hAnsiTheme="minorHAnsi"/>
          <w:b/>
          <w:bCs/>
          <w:sz w:val="24"/>
        </w:rPr>
        <w:t xml:space="preserve">Accurate coordinates of your facility where your chemicals are stored are very important </w:t>
      </w:r>
      <w:proofErr w:type="gramStart"/>
      <w:r w:rsidRPr="00205A54">
        <w:rPr>
          <w:rFonts w:asciiTheme="minorHAnsi" w:hAnsiTheme="minorHAnsi"/>
          <w:b/>
          <w:bCs/>
          <w:sz w:val="24"/>
        </w:rPr>
        <w:t>in order for</w:t>
      </w:r>
      <w:proofErr w:type="gramEnd"/>
      <w:r w:rsidRPr="00205A54">
        <w:rPr>
          <w:rFonts w:asciiTheme="minorHAnsi" w:hAnsiTheme="minorHAnsi"/>
          <w:b/>
          <w:bCs/>
          <w:sz w:val="24"/>
        </w:rPr>
        <w:t xml:space="preserve"> emergency responder personnel to find your facility in the event of an emergency.  Please ensure that you submit the exact Latitude and Longitude correctly for your facility. </w:t>
      </w:r>
      <w:r w:rsidRPr="00205A54">
        <w:rPr>
          <w:rFonts w:asciiTheme="minorHAnsi" w:hAnsiTheme="minorHAnsi"/>
          <w:sz w:val="24"/>
        </w:rPr>
        <w:t>In case your chemicals are stored in several locations, please submit the latitude and longitude of the front gate.</w:t>
      </w:r>
    </w:p>
    <w:p w14:paraId="4BFA53EA" w14:textId="77777777" w:rsidR="0030244D" w:rsidRPr="00205A54" w:rsidRDefault="0030244D" w:rsidP="0030244D">
      <w:pPr>
        <w:widowControl/>
        <w:numPr>
          <w:ilvl w:val="0"/>
          <w:numId w:val="1"/>
        </w:numPr>
        <w:autoSpaceDE/>
        <w:autoSpaceDN/>
        <w:adjustRightInd/>
        <w:rPr>
          <w:rFonts w:asciiTheme="minorHAnsi" w:hAnsiTheme="minorHAnsi"/>
          <w:sz w:val="24"/>
        </w:rPr>
      </w:pPr>
      <w:r w:rsidRPr="00205A54">
        <w:rPr>
          <w:rFonts w:asciiTheme="minorHAnsi" w:hAnsiTheme="minorHAnsi"/>
          <w:sz w:val="24"/>
        </w:rPr>
        <w:t xml:space="preserve">Facility maps indicating chemical locations.   </w:t>
      </w:r>
    </w:p>
    <w:p w14:paraId="5D722374" w14:textId="3B6E7ED4" w:rsidR="0030244D" w:rsidRPr="00275997" w:rsidRDefault="0030244D" w:rsidP="0030244D">
      <w:pPr>
        <w:widowControl/>
        <w:numPr>
          <w:ilvl w:val="0"/>
          <w:numId w:val="1"/>
        </w:numPr>
        <w:autoSpaceDE/>
        <w:autoSpaceDN/>
        <w:adjustRightInd/>
        <w:rPr>
          <w:rFonts w:asciiTheme="minorHAnsi" w:hAnsiTheme="minorHAnsi"/>
          <w:sz w:val="24"/>
        </w:rPr>
      </w:pPr>
      <w:r w:rsidRPr="00205A54">
        <w:rPr>
          <w:rFonts w:asciiTheme="minorHAnsi" w:hAnsiTheme="minorHAnsi"/>
          <w:sz w:val="24"/>
        </w:rPr>
        <w:t xml:space="preserve">A </w:t>
      </w:r>
      <w:r w:rsidRPr="00205A54">
        <w:rPr>
          <w:rFonts w:asciiTheme="minorHAnsi" w:hAnsiTheme="minorHAnsi"/>
          <w:b/>
          <w:sz w:val="24"/>
        </w:rPr>
        <w:t>$200.00</w:t>
      </w:r>
      <w:r w:rsidRPr="00205A54">
        <w:rPr>
          <w:rFonts w:asciiTheme="minorHAnsi" w:hAnsiTheme="minorHAnsi"/>
          <w:sz w:val="24"/>
        </w:rPr>
        <w:t xml:space="preserve"> filing fee </w:t>
      </w:r>
      <w:r w:rsidRPr="00205A54">
        <w:rPr>
          <w:rFonts w:asciiTheme="minorHAnsi" w:hAnsiTheme="minorHAnsi"/>
          <w:b/>
          <w:sz w:val="24"/>
        </w:rPr>
        <w:t>per facility</w:t>
      </w:r>
      <w:r w:rsidR="00540942">
        <w:rPr>
          <w:rFonts w:asciiTheme="minorHAnsi" w:hAnsiTheme="minorHAnsi"/>
          <w:b/>
          <w:sz w:val="24"/>
        </w:rPr>
        <w:t>;</w:t>
      </w:r>
      <w:r w:rsidR="005D393F">
        <w:rPr>
          <w:rFonts w:asciiTheme="minorHAnsi" w:hAnsiTheme="minorHAnsi"/>
          <w:b/>
          <w:sz w:val="24"/>
        </w:rPr>
        <w:t xml:space="preserve"> </w:t>
      </w:r>
      <w:r w:rsidR="005D393F">
        <w:rPr>
          <w:rFonts w:asciiTheme="minorHAnsi" w:hAnsiTheme="minorHAnsi"/>
          <w:bCs/>
          <w:sz w:val="24"/>
        </w:rPr>
        <w:t>and</w:t>
      </w:r>
    </w:p>
    <w:p w14:paraId="305AAFFC" w14:textId="1B48F545" w:rsidR="00275997" w:rsidRDefault="00984C72" w:rsidP="0030244D">
      <w:pPr>
        <w:widowControl/>
        <w:numPr>
          <w:ilvl w:val="0"/>
          <w:numId w:val="1"/>
        </w:numPr>
        <w:autoSpaceDE/>
        <w:autoSpaceDN/>
        <w:adjustRightInd/>
        <w:rPr>
          <w:rFonts w:asciiTheme="minorHAnsi" w:hAnsiTheme="minorHAnsi"/>
          <w:sz w:val="24"/>
        </w:rPr>
      </w:pPr>
      <w:r>
        <w:rPr>
          <w:rFonts w:asciiTheme="minorHAnsi" w:hAnsiTheme="minorHAnsi"/>
          <w:sz w:val="24"/>
        </w:rPr>
        <w:t xml:space="preserve">If reporting </w:t>
      </w:r>
      <w:r w:rsidR="007647D3">
        <w:rPr>
          <w:rFonts w:asciiTheme="minorHAnsi" w:hAnsiTheme="minorHAnsi"/>
          <w:sz w:val="24"/>
        </w:rPr>
        <w:t xml:space="preserve">for Lithium-ion batteries </w:t>
      </w:r>
      <w:r w:rsidR="007647D3" w:rsidRPr="001D5EFF">
        <w:rPr>
          <w:rFonts w:asciiTheme="minorHAnsi" w:hAnsiTheme="minorHAnsi"/>
          <w:b/>
          <w:bCs/>
          <w:sz w:val="24"/>
        </w:rPr>
        <w:t>only</w:t>
      </w:r>
      <w:r w:rsidR="007647D3">
        <w:rPr>
          <w:rFonts w:asciiTheme="minorHAnsi" w:hAnsiTheme="minorHAnsi"/>
          <w:sz w:val="24"/>
        </w:rPr>
        <w:t xml:space="preserve">, </w:t>
      </w:r>
      <w:r w:rsidR="001D5EFF">
        <w:rPr>
          <w:rFonts w:asciiTheme="minorHAnsi" w:hAnsiTheme="minorHAnsi"/>
          <w:sz w:val="24"/>
        </w:rPr>
        <w:t>a fee is not required.</w:t>
      </w:r>
    </w:p>
    <w:p w14:paraId="4EC2AACE" w14:textId="77777777" w:rsidR="002C2DC5" w:rsidRDefault="002C2DC5" w:rsidP="002C2DC5">
      <w:pPr>
        <w:widowControl/>
        <w:autoSpaceDE/>
        <w:autoSpaceDN/>
        <w:adjustRightInd/>
        <w:ind w:left="360"/>
        <w:rPr>
          <w:rFonts w:asciiTheme="minorHAnsi" w:hAnsiTheme="minorHAnsi"/>
          <w:sz w:val="24"/>
        </w:rPr>
      </w:pPr>
    </w:p>
    <w:p w14:paraId="21EC7BCF" w14:textId="55B3B930" w:rsidR="002C2DC5" w:rsidRPr="00E270AB" w:rsidRDefault="00513271" w:rsidP="002C2DC5">
      <w:pPr>
        <w:tabs>
          <w:tab w:val="left" w:pos="-360"/>
          <w:tab w:val="left" w:pos="0"/>
          <w:tab w:val="left" w:pos="360"/>
        </w:tabs>
        <w:rPr>
          <w:rFonts w:ascii="Aptos" w:hAnsi="Aptos"/>
          <w:sz w:val="24"/>
        </w:rPr>
      </w:pPr>
      <w:r>
        <w:rPr>
          <w:rFonts w:ascii="Aptos" w:hAnsi="Aptos"/>
          <w:b/>
          <w:bCs/>
          <w:sz w:val="24"/>
        </w:rPr>
        <w:t>AGENCIES</w:t>
      </w:r>
      <w:r w:rsidR="002C2DC5" w:rsidRPr="00E270AB">
        <w:rPr>
          <w:rFonts w:ascii="Aptos" w:hAnsi="Aptos"/>
          <w:b/>
          <w:bCs/>
          <w:sz w:val="24"/>
        </w:rPr>
        <w:t xml:space="preserve"> TO SUBMIT THE HCIF TO</w:t>
      </w:r>
    </w:p>
    <w:p w14:paraId="75CB24CC" w14:textId="77777777" w:rsidR="002C2DC5" w:rsidRDefault="002C2DC5" w:rsidP="002C2DC5">
      <w:pPr>
        <w:tabs>
          <w:tab w:val="left" w:pos="-360"/>
          <w:tab w:val="left" w:pos="0"/>
          <w:tab w:val="left" w:pos="360"/>
        </w:tabs>
        <w:rPr>
          <w:rFonts w:ascii="Aptos" w:hAnsi="Aptos"/>
          <w:sz w:val="24"/>
        </w:rPr>
      </w:pPr>
    </w:p>
    <w:p w14:paraId="781E8F22" w14:textId="45276F23" w:rsidR="002C2DC5" w:rsidRPr="00E270AB" w:rsidRDefault="002C2DC5" w:rsidP="002C2DC5">
      <w:pPr>
        <w:tabs>
          <w:tab w:val="left" w:pos="-360"/>
          <w:tab w:val="left" w:pos="0"/>
          <w:tab w:val="left" w:pos="360"/>
        </w:tabs>
        <w:rPr>
          <w:rFonts w:ascii="Aptos" w:hAnsi="Aptos"/>
          <w:sz w:val="24"/>
        </w:rPr>
      </w:pPr>
      <w:r w:rsidRPr="00E270AB">
        <w:rPr>
          <w:rFonts w:ascii="Aptos" w:hAnsi="Aptos"/>
          <w:sz w:val="24"/>
        </w:rPr>
        <w:t>Send completed Hawaii Chemical Inventory/Tier II Forms to each of the following organizations: (Attachment 3-</w:t>
      </w:r>
      <w:r w:rsidR="001D6A8F">
        <w:rPr>
          <w:rFonts w:ascii="Aptos" w:hAnsi="Aptos"/>
          <w:sz w:val="24"/>
        </w:rPr>
        <w:t>A</w:t>
      </w:r>
      <w:r w:rsidRPr="00E270AB">
        <w:rPr>
          <w:rFonts w:ascii="Aptos" w:hAnsi="Aptos"/>
          <w:sz w:val="24"/>
        </w:rPr>
        <w:t>)</w:t>
      </w:r>
    </w:p>
    <w:p w14:paraId="0747D0AD" w14:textId="77777777" w:rsidR="009B130F" w:rsidRDefault="009B130F" w:rsidP="009B130F">
      <w:pPr>
        <w:tabs>
          <w:tab w:val="left" w:pos="-360"/>
          <w:tab w:val="left" w:pos="0"/>
          <w:tab w:val="left" w:pos="360"/>
        </w:tabs>
        <w:rPr>
          <w:rFonts w:ascii="Aptos" w:hAnsi="Aptos"/>
          <w:sz w:val="24"/>
        </w:rPr>
      </w:pPr>
    </w:p>
    <w:p w14:paraId="1C16D4E2" w14:textId="01988204" w:rsidR="009418A5" w:rsidRPr="00E270AB" w:rsidRDefault="009418A5" w:rsidP="009418A5">
      <w:pPr>
        <w:pStyle w:val="ListParagraph"/>
        <w:widowControl w:val="0"/>
        <w:numPr>
          <w:ilvl w:val="0"/>
          <w:numId w:val="2"/>
        </w:numPr>
        <w:tabs>
          <w:tab w:val="left" w:pos="-360"/>
          <w:tab w:val="left" w:pos="0"/>
          <w:tab w:val="left" w:pos="360"/>
        </w:tabs>
        <w:autoSpaceDE w:val="0"/>
        <w:autoSpaceDN w:val="0"/>
        <w:adjustRightInd w:val="0"/>
        <w:spacing w:after="0" w:line="240" w:lineRule="auto"/>
        <w:rPr>
          <w:rFonts w:ascii="Aptos" w:hAnsi="Aptos"/>
        </w:rPr>
      </w:pPr>
      <w:r w:rsidRPr="00E270AB">
        <w:rPr>
          <w:rFonts w:ascii="Aptos" w:hAnsi="Aptos"/>
        </w:rPr>
        <w:t>Hawaii State Emergency Response Commission (HSERC/HEER</w:t>
      </w:r>
      <w:proofErr w:type="gramStart"/>
      <w:r w:rsidRPr="00E270AB">
        <w:rPr>
          <w:rFonts w:ascii="Aptos" w:hAnsi="Aptos"/>
        </w:rPr>
        <w:t>)</w:t>
      </w:r>
      <w:r w:rsidR="00A75CD4">
        <w:rPr>
          <w:rFonts w:ascii="Aptos" w:hAnsi="Aptos"/>
        </w:rPr>
        <w:t>;</w:t>
      </w:r>
      <w:proofErr w:type="gramEnd"/>
      <w:r w:rsidRPr="00E270AB">
        <w:rPr>
          <w:rFonts w:ascii="Aptos" w:hAnsi="Aptos"/>
        </w:rPr>
        <w:t xml:space="preserve"> </w:t>
      </w:r>
    </w:p>
    <w:p w14:paraId="32F1A503" w14:textId="029C662F" w:rsidR="009418A5" w:rsidRPr="00E270AB" w:rsidRDefault="009418A5" w:rsidP="009418A5">
      <w:pPr>
        <w:tabs>
          <w:tab w:val="left" w:pos="-360"/>
          <w:tab w:val="left" w:pos="0"/>
          <w:tab w:val="left" w:pos="360"/>
        </w:tabs>
        <w:ind w:left="360" w:hanging="360"/>
        <w:rPr>
          <w:rFonts w:ascii="Aptos" w:hAnsi="Aptos"/>
          <w:sz w:val="24"/>
        </w:rPr>
      </w:pPr>
      <w:r w:rsidRPr="00E270AB">
        <w:rPr>
          <w:rFonts w:ascii="Aptos" w:hAnsi="Aptos"/>
          <w:sz w:val="24"/>
        </w:rPr>
        <w:tab/>
        <w:t>2)</w:t>
      </w:r>
      <w:r w:rsidRPr="00E270AB">
        <w:rPr>
          <w:rFonts w:ascii="Aptos" w:hAnsi="Aptos"/>
          <w:sz w:val="24"/>
        </w:rPr>
        <w:tab/>
        <w:t>Your Local Emergency Planning Committee (LEPC)</w:t>
      </w:r>
      <w:r w:rsidR="00A75CD4">
        <w:rPr>
          <w:rFonts w:ascii="Aptos" w:hAnsi="Aptos"/>
          <w:sz w:val="24"/>
        </w:rPr>
        <w:t>; and</w:t>
      </w:r>
    </w:p>
    <w:p w14:paraId="7B5445CB" w14:textId="77777777" w:rsidR="009418A5" w:rsidRDefault="009418A5" w:rsidP="009418A5">
      <w:pPr>
        <w:tabs>
          <w:tab w:val="left" w:pos="-360"/>
          <w:tab w:val="left" w:pos="0"/>
          <w:tab w:val="left" w:pos="360"/>
        </w:tabs>
        <w:ind w:left="360" w:hanging="360"/>
        <w:rPr>
          <w:rFonts w:ascii="Aptos" w:hAnsi="Aptos"/>
          <w:sz w:val="24"/>
        </w:rPr>
      </w:pPr>
      <w:r w:rsidRPr="00E270AB">
        <w:rPr>
          <w:rFonts w:ascii="Aptos" w:hAnsi="Aptos"/>
          <w:sz w:val="24"/>
        </w:rPr>
        <w:tab/>
        <w:t>3)</w:t>
      </w:r>
      <w:r w:rsidRPr="00E270AB">
        <w:rPr>
          <w:rFonts w:ascii="Aptos" w:hAnsi="Aptos"/>
          <w:sz w:val="24"/>
        </w:rPr>
        <w:tab/>
        <w:t xml:space="preserve">Your Local Fire Chief </w:t>
      </w:r>
    </w:p>
    <w:p w14:paraId="6FD0C68B" w14:textId="77777777" w:rsidR="00CE7E20" w:rsidRDefault="00CE7E20" w:rsidP="009418A5">
      <w:pPr>
        <w:tabs>
          <w:tab w:val="left" w:pos="-360"/>
          <w:tab w:val="left" w:pos="0"/>
          <w:tab w:val="left" w:pos="360"/>
        </w:tabs>
        <w:ind w:left="360" w:hanging="360"/>
        <w:rPr>
          <w:rFonts w:ascii="Aptos" w:hAnsi="Aptos"/>
          <w:sz w:val="24"/>
        </w:rPr>
      </w:pPr>
    </w:p>
    <w:p w14:paraId="0620117B" w14:textId="5DCA47D5" w:rsidR="00A911CB" w:rsidRPr="00985DA6" w:rsidRDefault="00A911CB" w:rsidP="00A911CB">
      <w:pPr>
        <w:pStyle w:val="Subtitle"/>
        <w:rPr>
          <w:b/>
          <w:bCs/>
          <w:sz w:val="24"/>
          <w:szCs w:val="24"/>
        </w:rPr>
      </w:pPr>
      <w:r w:rsidRPr="00985DA6">
        <w:rPr>
          <w:b/>
          <w:bCs/>
          <w:sz w:val="24"/>
          <w:szCs w:val="24"/>
        </w:rPr>
        <w:t>Tier2</w:t>
      </w:r>
      <w:r w:rsidR="00985DA6" w:rsidRPr="00985DA6">
        <w:rPr>
          <w:b/>
          <w:bCs/>
          <w:sz w:val="24"/>
          <w:szCs w:val="24"/>
        </w:rPr>
        <w:t xml:space="preserve"> </w:t>
      </w:r>
      <w:r w:rsidRPr="00985DA6">
        <w:rPr>
          <w:b/>
          <w:bCs/>
          <w:sz w:val="24"/>
          <w:szCs w:val="24"/>
        </w:rPr>
        <w:t>S</w:t>
      </w:r>
      <w:r w:rsidR="00985DA6" w:rsidRPr="00985DA6">
        <w:rPr>
          <w:b/>
          <w:bCs/>
          <w:sz w:val="24"/>
          <w:szCs w:val="24"/>
        </w:rPr>
        <w:t>UBMIT ELECTRONIC SUBMISSION</w:t>
      </w:r>
    </w:p>
    <w:p w14:paraId="174B4E43" w14:textId="77777777" w:rsidR="00A911CB" w:rsidRPr="00010D9E" w:rsidRDefault="00A911CB" w:rsidP="00A911CB">
      <w:pPr>
        <w:rPr>
          <w:rFonts w:asciiTheme="minorHAnsi" w:hAnsiTheme="minorHAnsi"/>
          <w:sz w:val="24"/>
        </w:rPr>
      </w:pPr>
      <w:r w:rsidRPr="00010D9E">
        <w:rPr>
          <w:rFonts w:asciiTheme="minorHAnsi" w:hAnsiTheme="minorHAnsi"/>
          <w:sz w:val="24"/>
        </w:rPr>
        <w:t xml:space="preserve">The HEER Office is using Tier2Submit for two reasons:  The first reason is to allow electronic submission in a format already utilized by the EPA.  The second reason is to gain compatibility with the CAMEO/ALOHA/MARPLOT software used by emergency planners.  Maintaining </w:t>
      </w:r>
    </w:p>
    <w:p w14:paraId="3F062B1E" w14:textId="77777777" w:rsidR="00A911CB" w:rsidRPr="00010D9E" w:rsidRDefault="00A911CB" w:rsidP="00A911CB">
      <w:pPr>
        <w:rPr>
          <w:rFonts w:asciiTheme="minorHAnsi" w:hAnsiTheme="minorHAnsi"/>
          <w:sz w:val="24"/>
        </w:rPr>
      </w:pPr>
      <w:r w:rsidRPr="00010D9E">
        <w:rPr>
          <w:rFonts w:asciiTheme="minorHAnsi" w:hAnsiTheme="minorHAnsi"/>
          <w:sz w:val="24"/>
        </w:rPr>
        <w:t xml:space="preserve">Tier II information in CAMEO will increase the usefulness of the HEPCRA inventories to emergency response agencies.  </w:t>
      </w:r>
    </w:p>
    <w:p w14:paraId="6AB10260" w14:textId="77777777" w:rsidR="00A911CB" w:rsidRPr="00010D9E" w:rsidRDefault="00A911CB" w:rsidP="00A911CB">
      <w:pPr>
        <w:pStyle w:val="Subtitle"/>
        <w:rPr>
          <w:sz w:val="24"/>
          <w:szCs w:val="24"/>
        </w:rPr>
      </w:pPr>
    </w:p>
    <w:p w14:paraId="23B50CF8" w14:textId="77777777" w:rsidR="00A911CB" w:rsidRPr="00010D9E" w:rsidRDefault="00A911CB" w:rsidP="00A911CB">
      <w:pPr>
        <w:widowControl/>
        <w:numPr>
          <w:ilvl w:val="0"/>
          <w:numId w:val="4"/>
        </w:numPr>
        <w:autoSpaceDE/>
        <w:autoSpaceDN/>
        <w:adjustRightInd/>
        <w:rPr>
          <w:rFonts w:asciiTheme="minorHAnsi" w:hAnsiTheme="minorHAnsi"/>
          <w:sz w:val="24"/>
        </w:rPr>
      </w:pPr>
      <w:r w:rsidRPr="00010D9E">
        <w:rPr>
          <w:rFonts w:asciiTheme="minorHAnsi" w:hAnsiTheme="minorHAnsi"/>
          <w:sz w:val="24"/>
        </w:rPr>
        <w:t xml:space="preserve">Download the Tier2Submit software from the following website:  </w:t>
      </w:r>
    </w:p>
    <w:p w14:paraId="73BF55BD" w14:textId="77777777" w:rsidR="00A911CB" w:rsidRDefault="00A911CB" w:rsidP="00A911CB">
      <w:pPr>
        <w:ind w:left="720"/>
        <w:rPr>
          <w:rFonts w:asciiTheme="minorHAnsi" w:hAnsiTheme="minorHAnsi"/>
          <w:b/>
          <w:sz w:val="24"/>
        </w:rPr>
      </w:pPr>
      <w:hyperlink r:id="rId12" w:history="1">
        <w:r w:rsidRPr="00010D9E">
          <w:rPr>
            <w:rStyle w:val="Hyperlink"/>
            <w:rFonts w:asciiTheme="minorHAnsi" w:eastAsiaTheme="majorEastAsia" w:hAnsiTheme="minorHAnsi"/>
            <w:b/>
            <w:sz w:val="24"/>
          </w:rPr>
          <w:t>https://www.epa.gov/epcra/tier2-submit-software</w:t>
        </w:r>
      </w:hyperlink>
      <w:r w:rsidRPr="00010D9E">
        <w:rPr>
          <w:rFonts w:asciiTheme="minorHAnsi" w:hAnsiTheme="minorHAnsi"/>
          <w:b/>
          <w:sz w:val="24"/>
        </w:rPr>
        <w:t xml:space="preserve">   </w:t>
      </w:r>
    </w:p>
    <w:p w14:paraId="0DB3249A" w14:textId="77777777" w:rsidR="00E372E2" w:rsidRDefault="000454E5" w:rsidP="0045175B">
      <w:pPr>
        <w:rPr>
          <w:rFonts w:ascii="Aptos" w:hAnsi="Aptos"/>
          <w:b/>
          <w:sz w:val="24"/>
        </w:rPr>
      </w:pPr>
      <w:r>
        <w:rPr>
          <w:rFonts w:ascii="Aptos" w:hAnsi="Aptos"/>
          <w:b/>
          <w:sz w:val="24"/>
        </w:rPr>
        <w:tab/>
      </w:r>
      <w:r w:rsidR="00CF47F3">
        <w:rPr>
          <w:rFonts w:ascii="Aptos" w:hAnsi="Aptos"/>
          <w:b/>
          <w:sz w:val="24"/>
        </w:rPr>
        <w:t>If you have used the previous year’s Tier2</w:t>
      </w:r>
      <w:r w:rsidR="00445169">
        <w:rPr>
          <w:rFonts w:ascii="Aptos" w:hAnsi="Aptos"/>
          <w:b/>
          <w:sz w:val="24"/>
        </w:rPr>
        <w:t>Submit</w:t>
      </w:r>
      <w:r w:rsidR="008079CF">
        <w:rPr>
          <w:rFonts w:ascii="Aptos" w:hAnsi="Aptos"/>
          <w:b/>
          <w:sz w:val="24"/>
        </w:rPr>
        <w:t>, you may i</w:t>
      </w:r>
      <w:r w:rsidR="00E372E2">
        <w:rPr>
          <w:rFonts w:ascii="Aptos" w:hAnsi="Aptos"/>
          <w:b/>
          <w:sz w:val="24"/>
        </w:rPr>
        <w:t>m</w:t>
      </w:r>
      <w:r w:rsidR="008079CF">
        <w:rPr>
          <w:rFonts w:ascii="Aptos" w:hAnsi="Aptos"/>
          <w:b/>
          <w:sz w:val="24"/>
        </w:rPr>
        <w:t>port those records</w:t>
      </w:r>
    </w:p>
    <w:p w14:paraId="2E339477" w14:textId="5546952B" w:rsidR="00770665" w:rsidRPr="001A5AD6" w:rsidRDefault="00E372E2" w:rsidP="001A5AD6">
      <w:pPr>
        <w:rPr>
          <w:rFonts w:ascii="Aptos" w:hAnsi="Aptos"/>
          <w:sz w:val="24"/>
        </w:rPr>
      </w:pPr>
      <w:r>
        <w:rPr>
          <w:rFonts w:ascii="Aptos" w:hAnsi="Aptos"/>
          <w:b/>
          <w:sz w:val="24"/>
        </w:rPr>
        <w:tab/>
        <w:t>Into the current version of Tier2Submit and update your information.</w:t>
      </w:r>
      <w:r w:rsidR="008079CF">
        <w:rPr>
          <w:rFonts w:ascii="Aptos" w:hAnsi="Aptos"/>
          <w:b/>
          <w:sz w:val="24"/>
        </w:rPr>
        <w:t xml:space="preserve"> </w:t>
      </w:r>
    </w:p>
    <w:p w14:paraId="0E493716" w14:textId="77777777" w:rsidR="00A911CB" w:rsidRPr="00010D9E" w:rsidRDefault="00A911CB" w:rsidP="00A911CB">
      <w:pPr>
        <w:widowControl/>
        <w:numPr>
          <w:ilvl w:val="0"/>
          <w:numId w:val="4"/>
        </w:numPr>
        <w:autoSpaceDE/>
        <w:autoSpaceDN/>
        <w:adjustRightInd/>
        <w:rPr>
          <w:rFonts w:asciiTheme="minorHAnsi" w:hAnsiTheme="minorHAnsi"/>
          <w:sz w:val="24"/>
        </w:rPr>
      </w:pPr>
      <w:r w:rsidRPr="00010D9E">
        <w:rPr>
          <w:rFonts w:asciiTheme="minorHAnsi" w:hAnsiTheme="minorHAnsi"/>
          <w:sz w:val="24"/>
        </w:rPr>
        <w:t xml:space="preserve">Enter the inventory information into Tier2Submit.  </w:t>
      </w:r>
    </w:p>
    <w:p w14:paraId="2154F76F" w14:textId="438F2635" w:rsidR="00A911CB" w:rsidRDefault="00A911CB" w:rsidP="00A911CB">
      <w:pPr>
        <w:widowControl/>
        <w:numPr>
          <w:ilvl w:val="0"/>
          <w:numId w:val="4"/>
        </w:numPr>
        <w:autoSpaceDE/>
        <w:autoSpaceDN/>
        <w:adjustRightInd/>
        <w:rPr>
          <w:rFonts w:asciiTheme="minorHAnsi" w:hAnsiTheme="minorHAnsi"/>
          <w:sz w:val="24"/>
        </w:rPr>
      </w:pPr>
      <w:r w:rsidRPr="00010D9E">
        <w:rPr>
          <w:rFonts w:asciiTheme="minorHAnsi" w:hAnsiTheme="minorHAnsi"/>
          <w:sz w:val="24"/>
        </w:rPr>
        <w:t xml:space="preserve">Generate an electronic file (.t2s and .pdf) of your chemical inventory from the Tier2Submit software.  </w:t>
      </w:r>
    </w:p>
    <w:p w14:paraId="3B6B6F9B" w14:textId="18869869" w:rsidR="00AC5B7D" w:rsidRPr="00884CFE" w:rsidRDefault="007452BE" w:rsidP="00A911CB">
      <w:pPr>
        <w:widowControl/>
        <w:numPr>
          <w:ilvl w:val="0"/>
          <w:numId w:val="4"/>
        </w:numPr>
        <w:autoSpaceDE/>
        <w:autoSpaceDN/>
        <w:adjustRightInd/>
        <w:rPr>
          <w:rFonts w:asciiTheme="minorHAnsi" w:hAnsiTheme="minorHAnsi"/>
          <w:b/>
          <w:bCs/>
          <w:sz w:val="24"/>
        </w:rPr>
      </w:pPr>
      <w:r w:rsidRPr="00446F1E">
        <w:rPr>
          <w:rFonts w:asciiTheme="minorHAnsi" w:hAnsiTheme="minorHAnsi"/>
          <w:b/>
          <w:bCs/>
          <w:sz w:val="24"/>
        </w:rPr>
        <w:t xml:space="preserve">If you are filing for past years, </w:t>
      </w:r>
      <w:r w:rsidR="00F62397" w:rsidRPr="00446F1E">
        <w:rPr>
          <w:rFonts w:asciiTheme="minorHAnsi" w:hAnsiTheme="minorHAnsi"/>
          <w:b/>
          <w:bCs/>
          <w:sz w:val="24"/>
        </w:rPr>
        <w:t>you will not be able to use Tier2Submit</w:t>
      </w:r>
      <w:r w:rsidR="00F2521D">
        <w:rPr>
          <w:rFonts w:asciiTheme="minorHAnsi" w:hAnsiTheme="minorHAnsi"/>
          <w:b/>
          <w:bCs/>
          <w:sz w:val="24"/>
        </w:rPr>
        <w:t xml:space="preserve">. </w:t>
      </w:r>
      <w:r w:rsidR="003D7035">
        <w:rPr>
          <w:rFonts w:asciiTheme="minorHAnsi" w:hAnsiTheme="minorHAnsi"/>
          <w:sz w:val="24"/>
        </w:rPr>
        <w:t>The program</w:t>
      </w:r>
      <w:r w:rsidR="00766EAE">
        <w:rPr>
          <w:rFonts w:asciiTheme="minorHAnsi" w:hAnsiTheme="minorHAnsi"/>
          <w:sz w:val="24"/>
        </w:rPr>
        <w:t xml:space="preserve"> is only for use in the current filing year.  </w:t>
      </w:r>
      <w:r w:rsidR="00960865">
        <w:rPr>
          <w:rFonts w:asciiTheme="minorHAnsi" w:hAnsiTheme="minorHAnsi"/>
          <w:sz w:val="24"/>
        </w:rPr>
        <w:t xml:space="preserve">Use Attachment </w:t>
      </w:r>
      <w:r w:rsidR="00533850">
        <w:rPr>
          <w:rFonts w:asciiTheme="minorHAnsi" w:hAnsiTheme="minorHAnsi"/>
          <w:sz w:val="24"/>
        </w:rPr>
        <w:t>4</w:t>
      </w:r>
      <w:r w:rsidR="00960865">
        <w:rPr>
          <w:rFonts w:asciiTheme="minorHAnsi" w:hAnsiTheme="minorHAnsi"/>
          <w:sz w:val="24"/>
        </w:rPr>
        <w:t xml:space="preserve"> to complete and submit your report.</w:t>
      </w:r>
    </w:p>
    <w:p w14:paraId="399F69FF" w14:textId="77777777" w:rsidR="00514603" w:rsidRDefault="00514603" w:rsidP="00514603"/>
    <w:p w14:paraId="02DC0639" w14:textId="575C5389" w:rsidR="005867D4" w:rsidRDefault="005867D4" w:rsidP="005867D4">
      <w:pPr>
        <w:pStyle w:val="Heading1"/>
        <w:ind w:left="7920"/>
        <w:rPr>
          <w:rFonts w:ascii="Aptos" w:hAnsi="Aptos"/>
          <w:b/>
          <w:bCs/>
          <w:color w:val="auto"/>
          <w:sz w:val="24"/>
          <w:szCs w:val="24"/>
        </w:rPr>
      </w:pPr>
      <w:r>
        <w:rPr>
          <w:rFonts w:ascii="Aptos" w:hAnsi="Aptos"/>
          <w:b/>
          <w:bCs/>
          <w:color w:val="auto"/>
          <w:sz w:val="24"/>
          <w:szCs w:val="24"/>
        </w:rPr>
        <w:lastRenderedPageBreak/>
        <w:t xml:space="preserve">Attachment 2-A </w:t>
      </w:r>
      <w:r w:rsidR="00F35B40">
        <w:rPr>
          <w:rFonts w:ascii="Aptos" w:hAnsi="Aptos"/>
          <w:b/>
          <w:bCs/>
          <w:color w:val="auto"/>
          <w:sz w:val="24"/>
          <w:szCs w:val="24"/>
        </w:rPr>
        <w:t>P</w:t>
      </w:r>
      <w:r>
        <w:rPr>
          <w:rFonts w:ascii="Aptos" w:hAnsi="Aptos"/>
          <w:b/>
          <w:bCs/>
          <w:color w:val="auto"/>
          <w:sz w:val="24"/>
          <w:szCs w:val="24"/>
        </w:rPr>
        <w:t>age 4</w:t>
      </w:r>
    </w:p>
    <w:p w14:paraId="33B22837" w14:textId="106469EF" w:rsidR="00514603" w:rsidRPr="00985DA6" w:rsidRDefault="00BB1F54" w:rsidP="00514603">
      <w:pPr>
        <w:pStyle w:val="Heading1"/>
        <w:rPr>
          <w:rFonts w:ascii="Aptos" w:hAnsi="Aptos"/>
          <w:color w:val="auto"/>
          <w:sz w:val="24"/>
          <w:szCs w:val="24"/>
        </w:rPr>
      </w:pPr>
      <w:r w:rsidRPr="00985DA6">
        <w:rPr>
          <w:rFonts w:ascii="Aptos" w:hAnsi="Aptos"/>
          <w:b/>
          <w:bCs/>
          <w:color w:val="auto"/>
          <w:sz w:val="24"/>
          <w:szCs w:val="24"/>
        </w:rPr>
        <w:t>F</w:t>
      </w:r>
      <w:r w:rsidR="00985DA6" w:rsidRPr="00985DA6">
        <w:rPr>
          <w:rFonts w:ascii="Aptos" w:hAnsi="Aptos"/>
          <w:b/>
          <w:bCs/>
          <w:color w:val="auto"/>
          <w:sz w:val="24"/>
          <w:szCs w:val="24"/>
        </w:rPr>
        <w:t>ILING FOR PAST REPORTING YEARS, HAWAII CHEMICAL INVENTORY FORM (</w:t>
      </w:r>
      <w:proofErr w:type="gramStart"/>
      <w:r w:rsidR="00985DA6" w:rsidRPr="00985DA6">
        <w:rPr>
          <w:rFonts w:ascii="Aptos" w:hAnsi="Aptos"/>
          <w:b/>
          <w:bCs/>
          <w:color w:val="auto"/>
          <w:sz w:val="24"/>
          <w:szCs w:val="24"/>
        </w:rPr>
        <w:t xml:space="preserve">HCIF)   </w:t>
      </w:r>
      <w:proofErr w:type="gramEnd"/>
      <w:r w:rsidR="00985DA6" w:rsidRPr="00985DA6">
        <w:rPr>
          <w:rFonts w:ascii="Aptos" w:hAnsi="Aptos"/>
          <w:b/>
          <w:bCs/>
          <w:color w:val="auto"/>
          <w:sz w:val="24"/>
          <w:szCs w:val="24"/>
        </w:rPr>
        <w:t xml:space="preserve">ATTACHMENT </w:t>
      </w:r>
      <w:r w:rsidR="007D28D8">
        <w:rPr>
          <w:rFonts w:ascii="Aptos" w:hAnsi="Aptos"/>
          <w:b/>
          <w:bCs/>
          <w:color w:val="auto"/>
          <w:sz w:val="24"/>
          <w:szCs w:val="24"/>
        </w:rPr>
        <w:t>4</w:t>
      </w:r>
    </w:p>
    <w:p w14:paraId="54BD91E2" w14:textId="3A5A6A2E" w:rsidR="00514603" w:rsidRDefault="00514603" w:rsidP="00514603">
      <w:pPr>
        <w:rPr>
          <w:rFonts w:ascii="Aptos" w:hAnsi="Aptos"/>
          <w:sz w:val="24"/>
        </w:rPr>
      </w:pPr>
      <w:r w:rsidRPr="00514603">
        <w:rPr>
          <w:rFonts w:ascii="Aptos" w:hAnsi="Aptos"/>
          <w:sz w:val="24"/>
        </w:rPr>
        <w:t xml:space="preserve">Fill in the facility information and the </w:t>
      </w:r>
      <w:r w:rsidRPr="00514603">
        <w:rPr>
          <w:rFonts w:ascii="Aptos" w:hAnsi="Aptos"/>
          <w:b/>
          <w:bCs/>
          <w:sz w:val="24"/>
        </w:rPr>
        <w:t xml:space="preserve">year of the reporting period. </w:t>
      </w:r>
      <w:r w:rsidRPr="00514603">
        <w:rPr>
          <w:rFonts w:ascii="Aptos" w:hAnsi="Aptos"/>
          <w:sz w:val="24"/>
        </w:rPr>
        <w:t xml:space="preserve">Then make three copies, sign and date each form.  Send each </w:t>
      </w:r>
      <w:r w:rsidR="001D770A">
        <w:rPr>
          <w:rFonts w:ascii="Aptos" w:hAnsi="Aptos"/>
          <w:sz w:val="24"/>
        </w:rPr>
        <w:t>signed form</w:t>
      </w:r>
      <w:r w:rsidRPr="00514603">
        <w:rPr>
          <w:rFonts w:ascii="Aptos" w:hAnsi="Aptos"/>
          <w:sz w:val="24"/>
        </w:rPr>
        <w:t xml:space="preserve"> to the three appropriate agencies.  Include an updated map for each agency. </w:t>
      </w:r>
    </w:p>
    <w:p w14:paraId="7A3E670E" w14:textId="324B6461" w:rsidR="0077408D" w:rsidRPr="00C054CB" w:rsidRDefault="00C054CB" w:rsidP="00514603">
      <w:pPr>
        <w:rPr>
          <w:rFonts w:ascii="Aptos" w:hAnsi="Aptos"/>
          <w:b/>
          <w:bCs/>
          <w:sz w:val="24"/>
        </w:rPr>
      </w:pPr>
      <w:r w:rsidRPr="00C054CB">
        <w:rPr>
          <w:rFonts w:ascii="Aptos" w:hAnsi="Aptos"/>
          <w:b/>
          <w:bCs/>
          <w:sz w:val="24"/>
        </w:rPr>
        <w:t>The $200 filing fee per facility per year must</w:t>
      </w:r>
      <w:r w:rsidR="001759CC" w:rsidRPr="00C054CB">
        <w:rPr>
          <w:rFonts w:ascii="Aptos" w:hAnsi="Aptos"/>
          <w:b/>
          <w:bCs/>
          <w:sz w:val="24"/>
        </w:rPr>
        <w:t xml:space="preserve"> be submitted with </w:t>
      </w:r>
      <w:r w:rsidRPr="00C054CB">
        <w:rPr>
          <w:rFonts w:ascii="Aptos" w:hAnsi="Aptos"/>
          <w:b/>
          <w:bCs/>
          <w:sz w:val="24"/>
        </w:rPr>
        <w:t>the forms</w:t>
      </w:r>
      <w:r w:rsidR="00DA6311">
        <w:rPr>
          <w:rFonts w:ascii="Aptos" w:hAnsi="Aptos"/>
          <w:b/>
          <w:bCs/>
          <w:sz w:val="24"/>
        </w:rPr>
        <w:t xml:space="preserve"> </w:t>
      </w:r>
      <w:r w:rsidR="00422157">
        <w:rPr>
          <w:rFonts w:ascii="Aptos" w:hAnsi="Aptos"/>
          <w:b/>
          <w:bCs/>
          <w:sz w:val="24"/>
        </w:rPr>
        <w:t xml:space="preserve">to </w:t>
      </w:r>
      <w:r w:rsidR="00CA0D1A">
        <w:rPr>
          <w:rFonts w:ascii="Aptos" w:hAnsi="Aptos"/>
          <w:b/>
          <w:bCs/>
          <w:sz w:val="24"/>
        </w:rPr>
        <w:t>HSERC.</w:t>
      </w:r>
    </w:p>
    <w:p w14:paraId="0AD4E49C" w14:textId="1CBA7ECE" w:rsidR="00514603" w:rsidRPr="00514603" w:rsidRDefault="00514603" w:rsidP="00B9424F">
      <w:pPr>
        <w:widowControl/>
        <w:autoSpaceDE/>
        <w:autoSpaceDN/>
        <w:adjustRightInd/>
        <w:rPr>
          <w:rFonts w:asciiTheme="minorHAnsi" w:hAnsiTheme="minorHAnsi"/>
          <w:b/>
          <w:bCs/>
          <w:sz w:val="24"/>
        </w:rPr>
      </w:pPr>
    </w:p>
    <w:p w14:paraId="1C301F86" w14:textId="77777777" w:rsidR="001A5AD6" w:rsidRPr="001A5AD6" w:rsidRDefault="001A5AD6" w:rsidP="001A5AD6">
      <w:pPr>
        <w:widowControl/>
        <w:autoSpaceDE/>
        <w:autoSpaceDN/>
        <w:adjustRightInd/>
        <w:ind w:left="720"/>
        <w:rPr>
          <w:rFonts w:asciiTheme="minorHAnsi" w:hAnsiTheme="minorHAnsi"/>
          <w:sz w:val="24"/>
        </w:rPr>
      </w:pPr>
    </w:p>
    <w:p w14:paraId="53A5336A" w14:textId="502C7E1D" w:rsidR="00A911CB" w:rsidRPr="00010D9E" w:rsidRDefault="00F25DBF" w:rsidP="00A911CB">
      <w:pPr>
        <w:pStyle w:val="Subtitle"/>
        <w:rPr>
          <w:sz w:val="24"/>
          <w:szCs w:val="24"/>
        </w:rPr>
      </w:pPr>
      <w:r w:rsidRPr="002C4B96">
        <w:rPr>
          <w:b/>
          <w:bCs/>
          <w:color w:val="auto"/>
          <w:sz w:val="24"/>
          <w:szCs w:val="24"/>
        </w:rPr>
        <w:t>OPTIONS FOR SUBMITTING YOUR TIER</w:t>
      </w:r>
      <w:r w:rsidR="002C4B96" w:rsidRPr="002C4B96">
        <w:rPr>
          <w:b/>
          <w:bCs/>
          <w:color w:val="auto"/>
          <w:sz w:val="24"/>
          <w:szCs w:val="24"/>
        </w:rPr>
        <w:t xml:space="preserve"> II REPORT FILING FEE AND MAP:</w:t>
      </w:r>
    </w:p>
    <w:p w14:paraId="233F7BFC" w14:textId="1A80E4F1" w:rsidR="00CE7E20" w:rsidRPr="00F847C0" w:rsidRDefault="00A911CB" w:rsidP="00F847C0">
      <w:pPr>
        <w:pStyle w:val="Subtitle"/>
        <w:rPr>
          <w:color w:val="0070C0"/>
          <w:sz w:val="24"/>
          <w:szCs w:val="24"/>
        </w:rPr>
      </w:pPr>
      <w:r w:rsidRPr="00010D9E">
        <w:rPr>
          <w:sz w:val="24"/>
          <w:szCs w:val="24"/>
        </w:rPr>
        <w:t>Option 1:</w:t>
      </w:r>
      <w:r w:rsidRPr="00010D9E">
        <w:rPr>
          <w:sz w:val="24"/>
          <w:szCs w:val="24"/>
        </w:rPr>
        <w:tab/>
        <w:t xml:space="preserve">e-permitting </w:t>
      </w:r>
      <w:hyperlink r:id="rId13" w:history="1">
        <w:r w:rsidRPr="00010D9E">
          <w:rPr>
            <w:rStyle w:val="Hyperlink"/>
            <w:sz w:val="24"/>
            <w:szCs w:val="24"/>
          </w:rPr>
          <w:t>https://eha-cloud.doh.hawaii.gov/epermit/</w:t>
        </w:r>
      </w:hyperlink>
      <w:r w:rsidRPr="00010D9E">
        <w:rPr>
          <w:sz w:val="24"/>
          <w:szCs w:val="24"/>
        </w:rPr>
        <w:t xml:space="preserve">   </w:t>
      </w:r>
    </w:p>
    <w:p w14:paraId="15A69527" w14:textId="77777777" w:rsidR="002C2DC5" w:rsidRPr="00E270AB" w:rsidRDefault="002C2DC5" w:rsidP="002C2DC5">
      <w:pPr>
        <w:tabs>
          <w:tab w:val="left" w:pos="-360"/>
          <w:tab w:val="left" w:pos="0"/>
          <w:tab w:val="left" w:pos="360"/>
        </w:tabs>
        <w:rPr>
          <w:rFonts w:ascii="Aptos" w:hAnsi="Aptos"/>
          <w:sz w:val="24"/>
        </w:rPr>
      </w:pPr>
    </w:p>
    <w:p w14:paraId="24711AB9" w14:textId="30D81B49" w:rsidR="00586E22" w:rsidRDefault="00586E22" w:rsidP="00E55675">
      <w:pPr>
        <w:rPr>
          <w:rFonts w:asciiTheme="minorHAnsi" w:hAnsiTheme="minorHAnsi"/>
          <w:sz w:val="24"/>
        </w:rPr>
      </w:pPr>
      <w:r w:rsidRPr="00B462B3">
        <w:rPr>
          <w:rFonts w:asciiTheme="minorHAnsi" w:hAnsiTheme="minorHAnsi"/>
          <w:sz w:val="24"/>
        </w:rPr>
        <w:t>Option 2:</w:t>
      </w:r>
      <w:r w:rsidRPr="00B462B3">
        <w:rPr>
          <w:rFonts w:asciiTheme="minorHAnsi" w:hAnsiTheme="minorHAnsi"/>
          <w:sz w:val="24"/>
        </w:rPr>
        <w:tab/>
        <w:t xml:space="preserve">You may copy the electronic </w:t>
      </w:r>
      <w:r w:rsidR="002E32FA" w:rsidRPr="00B462B3">
        <w:rPr>
          <w:rFonts w:asciiTheme="minorHAnsi" w:hAnsiTheme="minorHAnsi"/>
          <w:sz w:val="24"/>
        </w:rPr>
        <w:t>file and</w:t>
      </w:r>
      <w:r w:rsidRPr="00B462B3">
        <w:rPr>
          <w:rFonts w:asciiTheme="minorHAnsi" w:hAnsiTheme="minorHAnsi"/>
          <w:sz w:val="24"/>
        </w:rPr>
        <w:t xml:space="preserve"> mail</w:t>
      </w:r>
      <w:r w:rsidR="007F0E22">
        <w:rPr>
          <w:rFonts w:asciiTheme="minorHAnsi" w:hAnsiTheme="minorHAnsi"/>
          <w:sz w:val="24"/>
        </w:rPr>
        <w:t xml:space="preserve"> </w:t>
      </w:r>
      <w:r w:rsidR="00E55675">
        <w:rPr>
          <w:rFonts w:asciiTheme="minorHAnsi" w:hAnsiTheme="minorHAnsi"/>
          <w:sz w:val="24"/>
        </w:rPr>
        <w:t>i</w:t>
      </w:r>
      <w:r w:rsidR="007F0E22">
        <w:rPr>
          <w:rFonts w:asciiTheme="minorHAnsi" w:hAnsiTheme="minorHAnsi"/>
          <w:sz w:val="24"/>
        </w:rPr>
        <w:t>t</w:t>
      </w:r>
      <w:r w:rsidRPr="00B462B3">
        <w:rPr>
          <w:rFonts w:asciiTheme="minorHAnsi" w:hAnsiTheme="minorHAnsi"/>
          <w:sz w:val="24"/>
        </w:rPr>
        <w:t xml:space="preserve"> to:</w:t>
      </w:r>
    </w:p>
    <w:p w14:paraId="0A135435" w14:textId="77777777" w:rsidR="00E55675" w:rsidRPr="00E55675" w:rsidRDefault="00E55675" w:rsidP="00E55675">
      <w:pPr>
        <w:rPr>
          <w:rFonts w:asciiTheme="minorHAnsi" w:hAnsiTheme="minorHAnsi"/>
          <w:sz w:val="24"/>
        </w:rPr>
      </w:pPr>
    </w:p>
    <w:p w14:paraId="0C8D8D83" w14:textId="77777777" w:rsidR="00B47E7A" w:rsidRDefault="002E32FA" w:rsidP="00B47E7A">
      <w:pPr>
        <w:pStyle w:val="Subtitle"/>
        <w:spacing w:line="240" w:lineRule="auto"/>
        <w:ind w:firstLine="288"/>
        <w:rPr>
          <w:b/>
          <w:sz w:val="24"/>
          <w:szCs w:val="24"/>
        </w:rPr>
      </w:pPr>
      <w:r>
        <w:rPr>
          <w:b/>
          <w:sz w:val="24"/>
          <w:szCs w:val="24"/>
        </w:rPr>
        <w:tab/>
      </w:r>
      <w:r>
        <w:rPr>
          <w:b/>
          <w:sz w:val="24"/>
          <w:szCs w:val="24"/>
        </w:rPr>
        <w:tab/>
      </w:r>
      <w:r w:rsidR="0001414A">
        <w:rPr>
          <w:b/>
          <w:sz w:val="24"/>
          <w:szCs w:val="24"/>
        </w:rPr>
        <w:t>STATE OF HAWAII</w:t>
      </w:r>
    </w:p>
    <w:p w14:paraId="6E02FE54" w14:textId="77777777" w:rsidR="00B47E7A" w:rsidRPr="00485C7D" w:rsidRDefault="00B47E7A" w:rsidP="00B47E7A">
      <w:pPr>
        <w:pStyle w:val="Subtitle"/>
        <w:spacing w:line="240" w:lineRule="auto"/>
        <w:ind w:firstLine="288"/>
        <w:rPr>
          <w:b/>
          <w:sz w:val="24"/>
          <w:szCs w:val="24"/>
        </w:rPr>
      </w:pPr>
      <w:r>
        <w:rPr>
          <w:b/>
          <w:sz w:val="24"/>
          <w:szCs w:val="24"/>
        </w:rPr>
        <w:tab/>
      </w:r>
      <w:r>
        <w:rPr>
          <w:b/>
          <w:sz w:val="24"/>
          <w:szCs w:val="24"/>
        </w:rPr>
        <w:tab/>
      </w:r>
      <w:r w:rsidRPr="00485C7D">
        <w:rPr>
          <w:b/>
          <w:sz w:val="24"/>
          <w:szCs w:val="24"/>
        </w:rPr>
        <w:t>Department of Health</w:t>
      </w:r>
    </w:p>
    <w:p w14:paraId="67D0830F" w14:textId="77777777" w:rsidR="00581897" w:rsidRPr="00485C7D" w:rsidRDefault="00D654A0" w:rsidP="00B47E7A">
      <w:pPr>
        <w:pStyle w:val="Subtitle"/>
        <w:spacing w:line="240" w:lineRule="auto"/>
        <w:ind w:firstLine="288"/>
        <w:rPr>
          <w:b/>
          <w:sz w:val="24"/>
          <w:szCs w:val="24"/>
        </w:rPr>
      </w:pPr>
      <w:r w:rsidRPr="00485C7D">
        <w:rPr>
          <w:b/>
          <w:sz w:val="24"/>
          <w:szCs w:val="24"/>
        </w:rPr>
        <w:tab/>
      </w:r>
      <w:r w:rsidRPr="00485C7D">
        <w:rPr>
          <w:b/>
          <w:sz w:val="24"/>
          <w:szCs w:val="24"/>
        </w:rPr>
        <w:tab/>
        <w:t xml:space="preserve">Hazard Evaluation and Emergency Response </w:t>
      </w:r>
      <w:r w:rsidR="00581897" w:rsidRPr="00485C7D">
        <w:rPr>
          <w:b/>
          <w:sz w:val="24"/>
          <w:szCs w:val="24"/>
        </w:rPr>
        <w:t>(HEER) Office</w:t>
      </w:r>
    </w:p>
    <w:p w14:paraId="5110A2CA" w14:textId="77777777" w:rsidR="002C3385" w:rsidRPr="00485C7D" w:rsidRDefault="00581897" w:rsidP="00B47E7A">
      <w:pPr>
        <w:pStyle w:val="Subtitle"/>
        <w:spacing w:line="240" w:lineRule="auto"/>
        <w:ind w:firstLine="288"/>
        <w:rPr>
          <w:b/>
          <w:sz w:val="24"/>
          <w:szCs w:val="24"/>
        </w:rPr>
      </w:pPr>
      <w:r w:rsidRPr="00485C7D">
        <w:rPr>
          <w:b/>
          <w:sz w:val="24"/>
          <w:szCs w:val="24"/>
        </w:rPr>
        <w:tab/>
      </w:r>
      <w:r w:rsidRPr="00485C7D">
        <w:rPr>
          <w:b/>
          <w:sz w:val="24"/>
          <w:szCs w:val="24"/>
        </w:rPr>
        <w:tab/>
      </w:r>
      <w:r w:rsidR="002C3385" w:rsidRPr="00485C7D">
        <w:rPr>
          <w:b/>
          <w:sz w:val="24"/>
          <w:szCs w:val="24"/>
        </w:rPr>
        <w:t>ATTN: HEPCRA Data Manager</w:t>
      </w:r>
    </w:p>
    <w:p w14:paraId="292D165A" w14:textId="77777777" w:rsidR="00DD0AA6" w:rsidRPr="00485C7D" w:rsidRDefault="002C3385" w:rsidP="00B47E7A">
      <w:pPr>
        <w:pStyle w:val="Subtitle"/>
        <w:spacing w:line="240" w:lineRule="auto"/>
        <w:ind w:firstLine="288"/>
        <w:rPr>
          <w:b/>
          <w:sz w:val="24"/>
          <w:szCs w:val="24"/>
        </w:rPr>
      </w:pPr>
      <w:r w:rsidRPr="00485C7D">
        <w:rPr>
          <w:b/>
          <w:sz w:val="24"/>
          <w:szCs w:val="24"/>
        </w:rPr>
        <w:tab/>
      </w:r>
      <w:r w:rsidRPr="00485C7D">
        <w:rPr>
          <w:b/>
          <w:sz w:val="24"/>
          <w:szCs w:val="24"/>
        </w:rPr>
        <w:tab/>
      </w:r>
      <w:r w:rsidR="00DD0AA6" w:rsidRPr="00485C7D">
        <w:rPr>
          <w:b/>
          <w:sz w:val="24"/>
          <w:szCs w:val="24"/>
        </w:rPr>
        <w:t>2385 Waimano Home Road #100</w:t>
      </w:r>
    </w:p>
    <w:p w14:paraId="0A16770E" w14:textId="59333F37" w:rsidR="002B12B1" w:rsidRPr="00485C7D" w:rsidRDefault="00DD0AA6" w:rsidP="00DD0AA6">
      <w:pPr>
        <w:pStyle w:val="Subtitle"/>
        <w:spacing w:line="240" w:lineRule="auto"/>
        <w:rPr>
          <w:b/>
        </w:rPr>
      </w:pPr>
      <w:r w:rsidRPr="00485C7D">
        <w:rPr>
          <w:b/>
          <w:sz w:val="24"/>
          <w:szCs w:val="24"/>
        </w:rPr>
        <w:tab/>
      </w:r>
      <w:r w:rsidRPr="00485C7D">
        <w:rPr>
          <w:b/>
          <w:sz w:val="24"/>
          <w:szCs w:val="24"/>
        </w:rPr>
        <w:tab/>
      </w:r>
      <w:r w:rsidR="008B7954" w:rsidRPr="00485C7D">
        <w:rPr>
          <w:b/>
          <w:sz w:val="24"/>
          <w:szCs w:val="24"/>
        </w:rPr>
        <w:t>Pearl City, HI 96782</w:t>
      </w:r>
      <w:r w:rsidR="002B12B1" w:rsidRPr="00485C7D">
        <w:rPr>
          <w:b/>
        </w:rPr>
        <w:tab/>
      </w:r>
      <w:r w:rsidR="002B12B1" w:rsidRPr="00485C7D">
        <w:rPr>
          <w:b/>
        </w:rPr>
        <w:tab/>
      </w:r>
    </w:p>
    <w:p w14:paraId="38B62DAD" w14:textId="7CE50A8A" w:rsidR="0001414A" w:rsidRPr="0001414A" w:rsidRDefault="0001414A" w:rsidP="0001414A">
      <w:pPr>
        <w:rPr>
          <w:rFonts w:asciiTheme="minorHAnsi" w:hAnsiTheme="minorHAnsi"/>
          <w:sz w:val="24"/>
        </w:rPr>
      </w:pPr>
      <w:r>
        <w:tab/>
      </w:r>
      <w:r>
        <w:tab/>
      </w:r>
    </w:p>
    <w:p w14:paraId="2A9ECA8C" w14:textId="0BFB9080" w:rsidR="002819D4" w:rsidRPr="00E55675" w:rsidRDefault="003B0EE9" w:rsidP="002819D4">
      <w:pPr>
        <w:rPr>
          <w:b/>
          <w:sz w:val="24"/>
        </w:rPr>
      </w:pPr>
      <w:r>
        <w:tab/>
      </w:r>
      <w:r w:rsidR="002819D4">
        <w:tab/>
      </w:r>
    </w:p>
    <w:p w14:paraId="71B12478" w14:textId="46C0CE44" w:rsidR="00362AA2" w:rsidRDefault="00586E22" w:rsidP="002C4B96">
      <w:pPr>
        <w:pStyle w:val="Subtitle"/>
        <w:spacing w:line="240" w:lineRule="auto"/>
        <w:ind w:firstLine="288"/>
      </w:pPr>
      <w:r w:rsidRPr="00E55675">
        <w:rPr>
          <w:b/>
          <w:sz w:val="24"/>
          <w:szCs w:val="24"/>
        </w:rPr>
        <w:t xml:space="preserve"> </w:t>
      </w:r>
    </w:p>
    <w:sectPr w:rsidR="00362AA2" w:rsidSect="002E6D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4675D"/>
    <w:multiLevelType w:val="hybridMultilevel"/>
    <w:tmpl w:val="3DE85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47C08"/>
    <w:multiLevelType w:val="hybridMultilevel"/>
    <w:tmpl w:val="6D42E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37E0E"/>
    <w:multiLevelType w:val="hybridMultilevel"/>
    <w:tmpl w:val="53EAB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37E7E"/>
    <w:multiLevelType w:val="hybridMultilevel"/>
    <w:tmpl w:val="AAD68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486526">
    <w:abstractNumId w:val="2"/>
  </w:num>
  <w:num w:numId="2" w16cid:durableId="1658727080">
    <w:abstractNumId w:val="3"/>
  </w:num>
  <w:num w:numId="3" w16cid:durableId="1429812291">
    <w:abstractNumId w:val="0"/>
  </w:num>
  <w:num w:numId="4" w16cid:durableId="165984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DE"/>
    <w:rsid w:val="00010D9E"/>
    <w:rsid w:val="0001414A"/>
    <w:rsid w:val="000454E5"/>
    <w:rsid w:val="00056329"/>
    <w:rsid w:val="00062593"/>
    <w:rsid w:val="001049D5"/>
    <w:rsid w:val="00113D7A"/>
    <w:rsid w:val="0012156C"/>
    <w:rsid w:val="001320FF"/>
    <w:rsid w:val="00147320"/>
    <w:rsid w:val="001679A9"/>
    <w:rsid w:val="001759CC"/>
    <w:rsid w:val="001A5018"/>
    <w:rsid w:val="001A5AD6"/>
    <w:rsid w:val="001D5EFF"/>
    <w:rsid w:val="001D6A8F"/>
    <w:rsid w:val="001D770A"/>
    <w:rsid w:val="001E1127"/>
    <w:rsid w:val="00205A54"/>
    <w:rsid w:val="00211D05"/>
    <w:rsid w:val="002548A2"/>
    <w:rsid w:val="00275997"/>
    <w:rsid w:val="002819D4"/>
    <w:rsid w:val="002B12B1"/>
    <w:rsid w:val="002C2DC5"/>
    <w:rsid w:val="002C3385"/>
    <w:rsid w:val="002C4B96"/>
    <w:rsid w:val="002D378B"/>
    <w:rsid w:val="002E32FA"/>
    <w:rsid w:val="002E6DCF"/>
    <w:rsid w:val="0030244D"/>
    <w:rsid w:val="0031330C"/>
    <w:rsid w:val="00345759"/>
    <w:rsid w:val="00362AA2"/>
    <w:rsid w:val="003B0EE9"/>
    <w:rsid w:val="003D3AA4"/>
    <w:rsid w:val="003D7035"/>
    <w:rsid w:val="00401420"/>
    <w:rsid w:val="00417AAC"/>
    <w:rsid w:val="00422157"/>
    <w:rsid w:val="00445169"/>
    <w:rsid w:val="00446F1E"/>
    <w:rsid w:val="0045175B"/>
    <w:rsid w:val="00452C78"/>
    <w:rsid w:val="00485C7D"/>
    <w:rsid w:val="00492CC0"/>
    <w:rsid w:val="004C267E"/>
    <w:rsid w:val="004D562A"/>
    <w:rsid w:val="004F34C3"/>
    <w:rsid w:val="004F7373"/>
    <w:rsid w:val="00513271"/>
    <w:rsid w:val="00514603"/>
    <w:rsid w:val="00530D6C"/>
    <w:rsid w:val="00533850"/>
    <w:rsid w:val="00536ED2"/>
    <w:rsid w:val="00540942"/>
    <w:rsid w:val="00541872"/>
    <w:rsid w:val="00581897"/>
    <w:rsid w:val="005867D4"/>
    <w:rsid w:val="00586E22"/>
    <w:rsid w:val="005B4A0B"/>
    <w:rsid w:val="005B4F52"/>
    <w:rsid w:val="005D393F"/>
    <w:rsid w:val="005D4334"/>
    <w:rsid w:val="005D4CA9"/>
    <w:rsid w:val="00624DC1"/>
    <w:rsid w:val="00635A5F"/>
    <w:rsid w:val="00643AD4"/>
    <w:rsid w:val="006D1120"/>
    <w:rsid w:val="00700CFC"/>
    <w:rsid w:val="00711C00"/>
    <w:rsid w:val="00735A80"/>
    <w:rsid w:val="007452BE"/>
    <w:rsid w:val="0075089B"/>
    <w:rsid w:val="007647D3"/>
    <w:rsid w:val="00766EAE"/>
    <w:rsid w:val="00770665"/>
    <w:rsid w:val="0077408D"/>
    <w:rsid w:val="007A5114"/>
    <w:rsid w:val="007A7090"/>
    <w:rsid w:val="007B2D47"/>
    <w:rsid w:val="007B6016"/>
    <w:rsid w:val="007C03E8"/>
    <w:rsid w:val="007D28D8"/>
    <w:rsid w:val="007E67A5"/>
    <w:rsid w:val="007F0E22"/>
    <w:rsid w:val="007F6696"/>
    <w:rsid w:val="0080069F"/>
    <w:rsid w:val="008079CF"/>
    <w:rsid w:val="008303EC"/>
    <w:rsid w:val="008453EE"/>
    <w:rsid w:val="00870D5E"/>
    <w:rsid w:val="00884CFE"/>
    <w:rsid w:val="008855E3"/>
    <w:rsid w:val="008B7954"/>
    <w:rsid w:val="009418A5"/>
    <w:rsid w:val="0095072B"/>
    <w:rsid w:val="00960865"/>
    <w:rsid w:val="00962BCF"/>
    <w:rsid w:val="00984C72"/>
    <w:rsid w:val="00985DA6"/>
    <w:rsid w:val="009B130F"/>
    <w:rsid w:val="009E0C23"/>
    <w:rsid w:val="00A1523D"/>
    <w:rsid w:val="00A559F1"/>
    <w:rsid w:val="00A612D5"/>
    <w:rsid w:val="00A6294E"/>
    <w:rsid w:val="00A747CD"/>
    <w:rsid w:val="00A75CD4"/>
    <w:rsid w:val="00A911CB"/>
    <w:rsid w:val="00AB3A3F"/>
    <w:rsid w:val="00AB7423"/>
    <w:rsid w:val="00AC52B6"/>
    <w:rsid w:val="00AC5B7D"/>
    <w:rsid w:val="00B023EB"/>
    <w:rsid w:val="00B05AE4"/>
    <w:rsid w:val="00B22764"/>
    <w:rsid w:val="00B240EE"/>
    <w:rsid w:val="00B30D99"/>
    <w:rsid w:val="00B462B3"/>
    <w:rsid w:val="00B47E7A"/>
    <w:rsid w:val="00B9424F"/>
    <w:rsid w:val="00BA43CD"/>
    <w:rsid w:val="00BB1F54"/>
    <w:rsid w:val="00C054CB"/>
    <w:rsid w:val="00C50D12"/>
    <w:rsid w:val="00C60626"/>
    <w:rsid w:val="00CA0D1A"/>
    <w:rsid w:val="00CB4B26"/>
    <w:rsid w:val="00CB6075"/>
    <w:rsid w:val="00CE7E20"/>
    <w:rsid w:val="00CF47F3"/>
    <w:rsid w:val="00D04497"/>
    <w:rsid w:val="00D075DE"/>
    <w:rsid w:val="00D441D1"/>
    <w:rsid w:val="00D654A0"/>
    <w:rsid w:val="00DA6311"/>
    <w:rsid w:val="00DD0AA6"/>
    <w:rsid w:val="00DF0EA3"/>
    <w:rsid w:val="00DF5DFF"/>
    <w:rsid w:val="00E03E10"/>
    <w:rsid w:val="00E372E2"/>
    <w:rsid w:val="00E55675"/>
    <w:rsid w:val="00E6744D"/>
    <w:rsid w:val="00E877DF"/>
    <w:rsid w:val="00F2521D"/>
    <w:rsid w:val="00F25DBF"/>
    <w:rsid w:val="00F35B40"/>
    <w:rsid w:val="00F62397"/>
    <w:rsid w:val="00F81CB7"/>
    <w:rsid w:val="00F82318"/>
    <w:rsid w:val="00F847C0"/>
    <w:rsid w:val="00F918FA"/>
    <w:rsid w:val="00FA27BF"/>
    <w:rsid w:val="00FF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42F2"/>
  <w15:chartTrackingRefBased/>
  <w15:docId w15:val="{EE8E0060-CB24-4606-96D9-9D38057D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7E"/>
    <w:pPr>
      <w:widowControl w:val="0"/>
      <w:autoSpaceDE w:val="0"/>
      <w:autoSpaceDN w:val="0"/>
      <w:adjustRightInd w:val="0"/>
      <w:spacing w:after="0" w:line="240" w:lineRule="auto"/>
    </w:pPr>
    <w:rPr>
      <w:rFonts w:ascii="Courier" w:eastAsia="Times New Roman" w:hAnsi="Courier" w:cs="Times New Roman"/>
      <w:kern w:val="0"/>
      <w:sz w:val="20"/>
      <w14:ligatures w14:val="none"/>
    </w:rPr>
  </w:style>
  <w:style w:type="paragraph" w:styleId="Heading1">
    <w:name w:val="heading 1"/>
    <w:basedOn w:val="Normal"/>
    <w:next w:val="Normal"/>
    <w:link w:val="Heading1Char"/>
    <w:uiPriority w:val="9"/>
    <w:qFormat/>
    <w:rsid w:val="00D075DE"/>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75DE"/>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75DE"/>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75DE"/>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075DE"/>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075DE"/>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075DE"/>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075DE"/>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075DE"/>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5DE"/>
    <w:rPr>
      <w:rFonts w:eastAsiaTheme="majorEastAsia" w:cstheme="majorBidi"/>
      <w:color w:val="272727" w:themeColor="text1" w:themeTint="D8"/>
    </w:rPr>
  </w:style>
  <w:style w:type="paragraph" w:styleId="Title">
    <w:name w:val="Title"/>
    <w:basedOn w:val="Normal"/>
    <w:next w:val="Normal"/>
    <w:link w:val="TitleChar"/>
    <w:qFormat/>
    <w:rsid w:val="00D075DE"/>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7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075DE"/>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7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5DE"/>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075DE"/>
    <w:rPr>
      <w:i/>
      <w:iCs/>
      <w:color w:val="404040" w:themeColor="text1" w:themeTint="BF"/>
    </w:rPr>
  </w:style>
  <w:style w:type="paragraph" w:styleId="ListParagraph">
    <w:name w:val="List Paragraph"/>
    <w:basedOn w:val="Normal"/>
    <w:uiPriority w:val="34"/>
    <w:qFormat/>
    <w:rsid w:val="00D075DE"/>
    <w:pPr>
      <w:widowControl/>
      <w:autoSpaceDE/>
      <w:autoSpaceDN/>
      <w:adjustRightInd/>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D075DE"/>
    <w:rPr>
      <w:i/>
      <w:iCs/>
      <w:color w:val="0F4761" w:themeColor="accent1" w:themeShade="BF"/>
    </w:rPr>
  </w:style>
  <w:style w:type="paragraph" w:styleId="IntenseQuote">
    <w:name w:val="Intense Quote"/>
    <w:basedOn w:val="Normal"/>
    <w:next w:val="Normal"/>
    <w:link w:val="IntenseQuoteChar"/>
    <w:uiPriority w:val="30"/>
    <w:qFormat/>
    <w:rsid w:val="00D075DE"/>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075DE"/>
    <w:rPr>
      <w:i/>
      <w:iCs/>
      <w:color w:val="0F4761" w:themeColor="accent1" w:themeShade="BF"/>
    </w:rPr>
  </w:style>
  <w:style w:type="character" w:styleId="IntenseReference">
    <w:name w:val="Intense Reference"/>
    <w:basedOn w:val="DefaultParagraphFont"/>
    <w:uiPriority w:val="32"/>
    <w:qFormat/>
    <w:rsid w:val="00D075DE"/>
    <w:rPr>
      <w:b/>
      <w:bCs/>
      <w:smallCaps/>
      <w:color w:val="0F4761" w:themeColor="accent1" w:themeShade="BF"/>
      <w:spacing w:val="5"/>
    </w:rPr>
  </w:style>
  <w:style w:type="character" w:styleId="Hyperlink">
    <w:name w:val="Hyperlink"/>
    <w:rsid w:val="00750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leonida@doh.hawaii.gov" TargetMode="External"/><Relationship Id="rId13" Type="http://schemas.openxmlformats.org/officeDocument/2006/relationships/hyperlink" Target="https://eha-cloud.doh.hawaii.gov/epermit/" TargetMode="External"/><Relationship Id="rId3" Type="http://schemas.openxmlformats.org/officeDocument/2006/relationships/styles" Target="styles.xml"/><Relationship Id="rId7" Type="http://schemas.openxmlformats.org/officeDocument/2006/relationships/hyperlink" Target="https://health.hawaii.gov/opppd/files/2015/06/11-453.pdf" TargetMode="External"/><Relationship Id="rId12" Type="http://schemas.openxmlformats.org/officeDocument/2006/relationships/hyperlink" Target="https://www.epa.gov/epcra/tier2-submit-softw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pitol.hawaii.gov/hrscurrent/Vol03_Ch0121-0200D/HRS0128E/HRS_0128E-.htm" TargetMode="External"/><Relationship Id="rId11" Type="http://schemas.openxmlformats.org/officeDocument/2006/relationships/hyperlink" Target="https://health.hawaii.gov/heer/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pa.gov/epcra/eligibility-gasoline-and-diesel-thresholds-retail-gas-stations" TargetMode="External"/><Relationship Id="rId4" Type="http://schemas.openxmlformats.org/officeDocument/2006/relationships/settings" Target="settings.xml"/><Relationship Id="rId9" Type="http://schemas.openxmlformats.org/officeDocument/2006/relationships/hyperlink" Target="http://www.epa.gov/epcra/Tier2-submit-softw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6B91-D8DF-489E-B991-39B72034E0EB}">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7222</Characters>
  <Application>Microsoft Office Word</Application>
  <DocSecurity>0</DocSecurity>
  <Lines>160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 Sharon L</dc:creator>
  <cp:keywords/>
  <dc:description/>
  <cp:lastModifiedBy>Leonida, Sharon L</cp:lastModifiedBy>
  <cp:revision>3</cp:revision>
  <cp:lastPrinted>2026-01-15T00:55:00Z</cp:lastPrinted>
  <dcterms:created xsi:type="dcterms:W3CDTF">2026-01-16T00:41:00Z</dcterms:created>
  <dcterms:modified xsi:type="dcterms:W3CDTF">2026-01-22T23:43:00Z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50120eb1-6cb8-42f9-abf5-d481ad7385f9</vt:lpwstr>
  </property>
</Properties>
</file>