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9C19" w14:textId="3F1B71BE" w:rsidR="00A9204E" w:rsidRDefault="0018177C" w:rsidP="0018177C">
      <w:pPr>
        <w:pStyle w:val="NoSpacing"/>
        <w:jc w:val="center"/>
      </w:pPr>
      <w:r>
        <w:t xml:space="preserve">SUMMARY OF </w:t>
      </w:r>
      <w:r w:rsidR="00501963">
        <w:t>DECE</w:t>
      </w:r>
      <w:r w:rsidR="00D83346">
        <w:t xml:space="preserve">MBER </w:t>
      </w:r>
      <w:r w:rsidR="00840320">
        <w:t>22</w:t>
      </w:r>
      <w:r w:rsidR="00D83346">
        <w:t xml:space="preserve">, </w:t>
      </w:r>
      <w:r>
        <w:t>2021</w:t>
      </w:r>
    </w:p>
    <w:p w14:paraId="44865A33" w14:textId="77777777" w:rsidR="0018177C" w:rsidRDefault="0018177C" w:rsidP="0018177C">
      <w:pPr>
        <w:pStyle w:val="NoSpacing"/>
        <w:jc w:val="center"/>
      </w:pPr>
      <w:r>
        <w:t>TRANSITION OF THE OAHU REGIONAL HEALTH CARE SYSTEM INTO THE DOH</w:t>
      </w:r>
    </w:p>
    <w:p w14:paraId="713F3EC0" w14:textId="77777777" w:rsidR="0018177C" w:rsidRDefault="0018177C" w:rsidP="0018177C">
      <w:pPr>
        <w:pStyle w:val="NoSpacing"/>
        <w:jc w:val="center"/>
      </w:pPr>
      <w:r>
        <w:t>MEETING VIA ZOOM</w:t>
      </w:r>
    </w:p>
    <w:p w14:paraId="22573EFE" w14:textId="0388B6A9" w:rsidR="0018177C" w:rsidRDefault="0018177C" w:rsidP="0018177C">
      <w:pPr>
        <w:pStyle w:val="NoSpacing"/>
        <w:jc w:val="center"/>
      </w:pPr>
      <w:r>
        <w:t>11:00 A.M. TO 11:</w:t>
      </w:r>
      <w:r w:rsidR="00501963">
        <w:t>3</w:t>
      </w:r>
      <w:r w:rsidR="00E32609">
        <w:t>1</w:t>
      </w:r>
      <w:r>
        <w:t xml:space="preserve"> A.M.</w:t>
      </w:r>
    </w:p>
    <w:p w14:paraId="081857D7" w14:textId="77777777" w:rsidR="0018177C" w:rsidRDefault="0018177C" w:rsidP="0018177C">
      <w:pPr>
        <w:pStyle w:val="NoSpacing"/>
        <w:jc w:val="center"/>
      </w:pPr>
    </w:p>
    <w:p w14:paraId="28EE841C" w14:textId="77777777" w:rsidR="0018177C" w:rsidRDefault="0018177C" w:rsidP="0018177C">
      <w:pPr>
        <w:pStyle w:val="NoSpacing"/>
      </w:pPr>
      <w:r>
        <w:t>PRESENT:</w:t>
      </w:r>
    </w:p>
    <w:p w14:paraId="2CA46D28" w14:textId="77777777" w:rsidR="00840320" w:rsidRDefault="00840320" w:rsidP="00840320">
      <w:pPr>
        <w:pStyle w:val="NoSpacing"/>
      </w:pPr>
      <w:r>
        <w:t>Dr. Elizabeth Char, Director of Health</w:t>
      </w:r>
    </w:p>
    <w:p w14:paraId="2D8F9279" w14:textId="5FB658F0" w:rsidR="0018177C" w:rsidRDefault="0018177C" w:rsidP="0018177C">
      <w:pPr>
        <w:pStyle w:val="NoSpacing"/>
      </w:pPr>
      <w:r>
        <w:t>Derek Akiyoshi, Chair of the Oahu Regional System Board</w:t>
      </w:r>
    </w:p>
    <w:p w14:paraId="77F2EDD1" w14:textId="77777777" w:rsidR="0018177C" w:rsidRDefault="0018177C" w:rsidP="0018177C">
      <w:pPr>
        <w:pStyle w:val="NoSpacing"/>
      </w:pPr>
      <w:r>
        <w:t>Sean Sanada, CEO of Oahu Regional</w:t>
      </w:r>
    </w:p>
    <w:p w14:paraId="3D9A5E2A" w14:textId="77777777" w:rsidR="0018177C" w:rsidRDefault="0018177C" w:rsidP="0018177C">
      <w:pPr>
        <w:pStyle w:val="NoSpacing"/>
      </w:pPr>
      <w:r>
        <w:t>Marian Tsuji, Deputy Director of Behavioral Health, Department of Health</w:t>
      </w:r>
    </w:p>
    <w:p w14:paraId="42393771" w14:textId="77777777" w:rsidR="0018177C" w:rsidRDefault="0018177C" w:rsidP="0018177C">
      <w:pPr>
        <w:pStyle w:val="NoSpacing"/>
      </w:pPr>
      <w:r>
        <w:t>Janis Morita, Department of Health Administrative Services Office</w:t>
      </w:r>
    </w:p>
    <w:p w14:paraId="2810BBF3" w14:textId="2607E5BF" w:rsidR="0018177C" w:rsidRDefault="0018177C" w:rsidP="0018177C">
      <w:pPr>
        <w:pStyle w:val="NoSpacing"/>
      </w:pPr>
      <w:r>
        <w:t>Steve Sakamoto, Department of Health, Health Information Systems Office</w:t>
      </w:r>
    </w:p>
    <w:p w14:paraId="46074431" w14:textId="3D5490B0" w:rsidR="0094144E" w:rsidRDefault="0094144E" w:rsidP="0094144E">
      <w:pPr>
        <w:pStyle w:val="NoSpacing"/>
      </w:pPr>
      <w:r>
        <w:t>Wilfredo Tungol, Department of Health, Office of Planning, Policy &amp; Program Development</w:t>
      </w:r>
    </w:p>
    <w:p w14:paraId="25072136" w14:textId="77777777" w:rsidR="0018177C" w:rsidRDefault="0018177C" w:rsidP="0018177C">
      <w:pPr>
        <w:pStyle w:val="NoSpacing"/>
      </w:pPr>
      <w:r>
        <w:t>Mike Hamamoto, Oahu Region CFO</w:t>
      </w:r>
    </w:p>
    <w:p w14:paraId="1D91D67B" w14:textId="77777777" w:rsidR="0018177C" w:rsidRDefault="0018177C" w:rsidP="0018177C">
      <w:pPr>
        <w:pStyle w:val="NoSpacing"/>
      </w:pPr>
      <w:r>
        <w:t>Amy Curtis, Department of Health Behavioral Health</w:t>
      </w:r>
    </w:p>
    <w:p w14:paraId="24BBCABA" w14:textId="1E0F05E0" w:rsidR="0018177C" w:rsidRDefault="00240313" w:rsidP="0018177C">
      <w:pPr>
        <w:pStyle w:val="NoSpacing"/>
      </w:pPr>
      <w:r>
        <w:t>Blair Goto, Department of the Attorney General</w:t>
      </w:r>
    </w:p>
    <w:p w14:paraId="7F06AF1F" w14:textId="6B241885" w:rsidR="008412CE" w:rsidRDefault="008412CE" w:rsidP="0018177C">
      <w:pPr>
        <w:pStyle w:val="NoSpacing"/>
      </w:pPr>
      <w:r>
        <w:t>Craig Hira, Department of Budget &amp; Finance</w:t>
      </w:r>
    </w:p>
    <w:p w14:paraId="337EB903" w14:textId="62CD9908" w:rsidR="00240313" w:rsidRDefault="00240313" w:rsidP="0018177C">
      <w:pPr>
        <w:pStyle w:val="NoSpacing"/>
      </w:pPr>
      <w:r>
        <w:t>Derek Chan, Department of Budget and Finance</w:t>
      </w:r>
    </w:p>
    <w:p w14:paraId="27B33555" w14:textId="77777777" w:rsidR="008412CE" w:rsidRDefault="008412CE" w:rsidP="008412CE">
      <w:pPr>
        <w:pStyle w:val="NoSpacing"/>
      </w:pPr>
      <w:r>
        <w:t>Dr. Linda Rosen, President and CEO of HHSC</w:t>
      </w:r>
    </w:p>
    <w:p w14:paraId="7A0787FA" w14:textId="77777777" w:rsidR="00240313" w:rsidRDefault="00240313" w:rsidP="0018177C">
      <w:pPr>
        <w:pStyle w:val="NoSpacing"/>
      </w:pPr>
      <w:r>
        <w:t>Renee Lai, CIO of HHSC</w:t>
      </w:r>
    </w:p>
    <w:p w14:paraId="13EC9955" w14:textId="77777777" w:rsidR="008412CE" w:rsidRDefault="008412CE" w:rsidP="008412CE">
      <w:pPr>
        <w:pStyle w:val="NoSpacing"/>
      </w:pPr>
      <w:r>
        <w:t>Edward Chu, HHSC Finance Department</w:t>
      </w:r>
    </w:p>
    <w:p w14:paraId="062F92C9" w14:textId="77777777" w:rsidR="00240313" w:rsidRDefault="00240313" w:rsidP="0018177C">
      <w:pPr>
        <w:pStyle w:val="NoSpacing"/>
      </w:pPr>
      <w:r>
        <w:t>Donna Tsuruda-Kashiwabara, State Procurement Office</w:t>
      </w:r>
    </w:p>
    <w:p w14:paraId="3EF1EF4E" w14:textId="027176B5" w:rsidR="00240313" w:rsidRDefault="00240313" w:rsidP="0018177C">
      <w:pPr>
        <w:pStyle w:val="NoSpacing"/>
      </w:pPr>
      <w:r>
        <w:t>Debbie Hiraoka, SH Consulting</w:t>
      </w:r>
    </w:p>
    <w:p w14:paraId="7396455C" w14:textId="17009B42" w:rsidR="00E2114D" w:rsidRDefault="00D83346" w:rsidP="0018177C">
      <w:pPr>
        <w:pStyle w:val="NoSpacing"/>
      </w:pPr>
      <w:r>
        <w:t xml:space="preserve">Brandy Cannon, </w:t>
      </w:r>
      <w:r w:rsidR="00E2114D">
        <w:t>RGP</w:t>
      </w:r>
    </w:p>
    <w:p w14:paraId="66EFCD96" w14:textId="77777777" w:rsidR="00E2114D" w:rsidRDefault="00E2114D" w:rsidP="0018177C">
      <w:pPr>
        <w:pStyle w:val="NoSpacing"/>
      </w:pPr>
      <w:r>
        <w:t>Todd Okamoto, RGP</w:t>
      </w:r>
    </w:p>
    <w:p w14:paraId="499D5E3B" w14:textId="77777777" w:rsidR="00794624" w:rsidRDefault="00794624" w:rsidP="0018177C">
      <w:pPr>
        <w:pStyle w:val="NoSpacing"/>
      </w:pPr>
      <w:r>
        <w:t>Mikhail Gorbatenko, RGP</w:t>
      </w:r>
    </w:p>
    <w:p w14:paraId="647D5C2B" w14:textId="44A0CAEA" w:rsidR="00231737" w:rsidRDefault="00794624" w:rsidP="0018177C">
      <w:pPr>
        <w:pStyle w:val="NoSpacing"/>
      </w:pPr>
      <w:r>
        <w:t>Todd Gower, RGP</w:t>
      </w:r>
    </w:p>
    <w:p w14:paraId="67955B15" w14:textId="6643E5A1" w:rsidR="00C417F3" w:rsidRDefault="00C417F3" w:rsidP="0018177C">
      <w:pPr>
        <w:pStyle w:val="NoSpacing"/>
      </w:pPr>
      <w:r>
        <w:t>Leighton Mue, RGP</w:t>
      </w:r>
    </w:p>
    <w:p w14:paraId="7229E879" w14:textId="77777777" w:rsidR="008412CE" w:rsidRDefault="008412CE" w:rsidP="008412CE">
      <w:pPr>
        <w:pStyle w:val="NoSpacing"/>
      </w:pPr>
      <w:r>
        <w:t>Scott Kawai, HHSC</w:t>
      </w:r>
    </w:p>
    <w:p w14:paraId="34EFA637" w14:textId="3DC35021" w:rsidR="00231737" w:rsidRDefault="00231737" w:rsidP="0018177C">
      <w:pPr>
        <w:pStyle w:val="NoSpacing"/>
      </w:pPr>
      <w:r>
        <w:t>Tricia Won, HHSC</w:t>
      </w:r>
    </w:p>
    <w:p w14:paraId="123BDA71" w14:textId="77777777" w:rsidR="008412CE" w:rsidRDefault="008412CE" w:rsidP="008412CE">
      <w:pPr>
        <w:pStyle w:val="NoSpacing"/>
      </w:pPr>
      <w:r>
        <w:t>Aileen Sakado, HHSC</w:t>
      </w:r>
    </w:p>
    <w:p w14:paraId="0228ED7C" w14:textId="77777777" w:rsidR="008412CE" w:rsidRDefault="008412CE" w:rsidP="008412CE">
      <w:pPr>
        <w:pStyle w:val="NoSpacing"/>
      </w:pPr>
      <w:r>
        <w:t>Violeta Gonzales, HHSC</w:t>
      </w:r>
    </w:p>
    <w:p w14:paraId="3EF3E032" w14:textId="13804125" w:rsidR="008412CE" w:rsidRDefault="008412CE" w:rsidP="0018177C">
      <w:pPr>
        <w:pStyle w:val="NoSpacing"/>
      </w:pPr>
      <w:r>
        <w:t>Elizabeth (Libby) Pyo, HHSC</w:t>
      </w:r>
    </w:p>
    <w:p w14:paraId="36BF7DE7" w14:textId="4CC865BD" w:rsidR="00BD129A" w:rsidRDefault="00BD129A" w:rsidP="0018177C">
      <w:pPr>
        <w:pStyle w:val="NoSpacing"/>
      </w:pPr>
      <w:r>
        <w:t>Michelle Kato, HHSC</w:t>
      </w:r>
    </w:p>
    <w:p w14:paraId="01B776C3" w14:textId="77777777" w:rsidR="008412CE" w:rsidRDefault="008412CE" w:rsidP="008412CE">
      <w:pPr>
        <w:pStyle w:val="NoSpacing"/>
      </w:pPr>
      <w:r>
        <w:t>Ryan Asato, HHSC</w:t>
      </w:r>
    </w:p>
    <w:p w14:paraId="40340B70" w14:textId="3A4FDAF2" w:rsidR="00C417F3" w:rsidRDefault="00C417F3" w:rsidP="0018177C">
      <w:pPr>
        <w:pStyle w:val="NoSpacing"/>
      </w:pPr>
      <w:r>
        <w:t xml:space="preserve">Tracy Kitaoka, DAGS </w:t>
      </w:r>
    </w:p>
    <w:p w14:paraId="32DBA86B" w14:textId="77777777" w:rsidR="008412CE" w:rsidRDefault="008412CE" w:rsidP="008412CE">
      <w:pPr>
        <w:pStyle w:val="NoSpacing"/>
      </w:pPr>
      <w:r>
        <w:t>Gino Merez, DOH</w:t>
      </w:r>
    </w:p>
    <w:p w14:paraId="055D6FEF" w14:textId="0C4FC9F3" w:rsidR="008412CE" w:rsidRDefault="008412CE" w:rsidP="0018177C">
      <w:pPr>
        <w:pStyle w:val="NoSpacing"/>
      </w:pPr>
      <w:r>
        <w:t>Jacky Rabaino, UPW</w:t>
      </w:r>
    </w:p>
    <w:p w14:paraId="511341E3" w14:textId="7653BBED" w:rsidR="008D6ACC" w:rsidRDefault="008D6ACC" w:rsidP="0018177C">
      <w:pPr>
        <w:pStyle w:val="NoSpacing"/>
      </w:pPr>
      <w:r>
        <w:t>Malia Espinda, HHSC</w:t>
      </w:r>
    </w:p>
    <w:p w14:paraId="7831C756" w14:textId="77777777" w:rsidR="00D34B7B" w:rsidRDefault="00D34B7B" w:rsidP="00D34B7B">
      <w:pPr>
        <w:pStyle w:val="NoSpacing"/>
      </w:pPr>
      <w:r>
        <w:t>Arleen Ribac, DOH</w:t>
      </w:r>
    </w:p>
    <w:p w14:paraId="423DD326" w14:textId="0004E60B" w:rsidR="00D34B7B" w:rsidRDefault="00D34B7B" w:rsidP="00D34B7B">
      <w:pPr>
        <w:pStyle w:val="NoSpacing"/>
      </w:pPr>
      <w:r>
        <w:t>FIN-Kawamura, Jon</w:t>
      </w:r>
    </w:p>
    <w:p w14:paraId="14EE2AFE" w14:textId="23439399" w:rsidR="008412CE" w:rsidRDefault="008412CE" w:rsidP="0018177C">
      <w:pPr>
        <w:pStyle w:val="NoSpacing"/>
      </w:pPr>
      <w:r>
        <w:t>18087334171</w:t>
      </w:r>
    </w:p>
    <w:p w14:paraId="0DAFAD4E" w14:textId="72822042" w:rsidR="00BD129A" w:rsidRDefault="008C002E" w:rsidP="0018177C">
      <w:pPr>
        <w:pStyle w:val="NoSpacing"/>
      </w:pPr>
      <w:r>
        <w:t>18082584441</w:t>
      </w:r>
    </w:p>
    <w:p w14:paraId="051C6F5A" w14:textId="69A42CD1" w:rsidR="008412CE" w:rsidRDefault="008412CE" w:rsidP="0018177C">
      <w:pPr>
        <w:pStyle w:val="NoSpacing"/>
      </w:pPr>
      <w:r>
        <w:t>Leah Delos Santos</w:t>
      </w:r>
    </w:p>
    <w:p w14:paraId="5A58449C" w14:textId="0CB086C8" w:rsidR="008412CE" w:rsidRDefault="008412CE" w:rsidP="0018177C">
      <w:pPr>
        <w:pStyle w:val="NoSpacing"/>
      </w:pPr>
      <w:r>
        <w:t>Anne</w:t>
      </w:r>
    </w:p>
    <w:p w14:paraId="24FD6BA0" w14:textId="2916A0CC" w:rsidR="008C002E" w:rsidRDefault="008C002E" w:rsidP="0018177C">
      <w:pPr>
        <w:pStyle w:val="NoSpacing"/>
      </w:pPr>
    </w:p>
    <w:p w14:paraId="3681B411" w14:textId="11B9EE73" w:rsidR="00240313" w:rsidRDefault="00240313" w:rsidP="0018177C">
      <w:pPr>
        <w:pStyle w:val="NoSpacing"/>
      </w:pPr>
      <w:r>
        <w:t>ABSENT:</w:t>
      </w:r>
    </w:p>
    <w:p w14:paraId="0214957F" w14:textId="6AB7E6A7" w:rsidR="00840320" w:rsidRDefault="00840320" w:rsidP="00840320">
      <w:pPr>
        <w:pStyle w:val="NoSpacing"/>
      </w:pPr>
      <w:r>
        <w:t>Heather Ching-Manzano, Department of Health Labor Relations</w:t>
      </w:r>
    </w:p>
    <w:p w14:paraId="2C187362" w14:textId="0711D457" w:rsidR="00840320" w:rsidRDefault="00840320" w:rsidP="00840320">
      <w:pPr>
        <w:pStyle w:val="NoSpacing"/>
      </w:pPr>
      <w:r>
        <w:t>Andrew Garrett, Departm</w:t>
      </w:r>
      <w:r w:rsidR="0069210D">
        <w:t xml:space="preserve">ent of Human Resources Development </w:t>
      </w:r>
    </w:p>
    <w:p w14:paraId="28E5BF27" w14:textId="33D043FB" w:rsidR="00240313" w:rsidRDefault="00240313" w:rsidP="0018177C">
      <w:pPr>
        <w:pStyle w:val="NoSpacing"/>
      </w:pPr>
      <w:r>
        <w:t>Audrey Hidano, Department of Accounting and General Services</w:t>
      </w:r>
    </w:p>
    <w:p w14:paraId="10E2FFE1" w14:textId="261C826A" w:rsidR="00240313" w:rsidRDefault="00240313" w:rsidP="0018177C">
      <w:pPr>
        <w:pStyle w:val="NoSpacing"/>
      </w:pPr>
      <w:bookmarkStart w:id="0" w:name="_GoBack"/>
      <w:bookmarkEnd w:id="0"/>
      <w:r>
        <w:t>Neal Miyahira, Department of Budget and Finance</w:t>
      </w:r>
    </w:p>
    <w:p w14:paraId="2D251925" w14:textId="77777777" w:rsidR="008412CE" w:rsidRDefault="008412CE" w:rsidP="008412CE">
      <w:pPr>
        <w:pStyle w:val="NoSpacing"/>
      </w:pPr>
      <w:r>
        <w:t>Mary Alice Evans, Office of Planning and Sustainable Development</w:t>
      </w:r>
    </w:p>
    <w:p w14:paraId="6F7F23DE" w14:textId="38CEC860" w:rsidR="00240313" w:rsidRDefault="00240313" w:rsidP="0018177C">
      <w:pPr>
        <w:pStyle w:val="NoSpacing"/>
      </w:pPr>
      <w:r>
        <w:t>Heath Hollenbeck, HHSC Director of Technical Services</w:t>
      </w:r>
    </w:p>
    <w:p w14:paraId="3F758634" w14:textId="3357FE3B" w:rsidR="008412CE" w:rsidRDefault="008412CE" w:rsidP="008412CE">
      <w:pPr>
        <w:pStyle w:val="NoSpacing"/>
      </w:pPr>
      <w:r>
        <w:lastRenderedPageBreak/>
        <w:t>Juanita Lauti, HHSC Human Resources Department</w:t>
      </w:r>
    </w:p>
    <w:p w14:paraId="71769A23" w14:textId="77777777" w:rsidR="008412CE" w:rsidRDefault="008412CE" w:rsidP="008412CE">
      <w:pPr>
        <w:pStyle w:val="NoSpacing"/>
      </w:pPr>
      <w:r>
        <w:t>Wes Tufaga, HGEA</w:t>
      </w:r>
    </w:p>
    <w:p w14:paraId="7B8FE046" w14:textId="2DDBE6E7" w:rsidR="00240313" w:rsidRDefault="00240313" w:rsidP="0018177C">
      <w:pPr>
        <w:pStyle w:val="NoSpacing"/>
      </w:pPr>
      <w:r>
        <w:t>Radford Hirai, UPW</w:t>
      </w:r>
    </w:p>
    <w:p w14:paraId="6835E709" w14:textId="77777777" w:rsidR="008412CE" w:rsidRDefault="008412CE" w:rsidP="0018177C">
      <w:pPr>
        <w:pStyle w:val="NoSpacing"/>
      </w:pPr>
    </w:p>
    <w:p w14:paraId="14C5B5B5" w14:textId="432C8D55" w:rsidR="004D3D7B" w:rsidRDefault="004D3D7B" w:rsidP="0018177C">
      <w:pPr>
        <w:pStyle w:val="NoSpacing"/>
      </w:pPr>
    </w:p>
    <w:p w14:paraId="5070C410" w14:textId="5D2797A9" w:rsidR="0033068A" w:rsidRDefault="004814C8" w:rsidP="004814C8">
      <w:pPr>
        <w:pStyle w:val="NoSpacing"/>
        <w:tabs>
          <w:tab w:val="left" w:pos="720"/>
          <w:tab w:val="left" w:pos="1080"/>
          <w:tab w:val="left" w:pos="1440"/>
        </w:tabs>
      </w:pPr>
      <w:r>
        <w:t>3:0</w:t>
      </w:r>
      <w:r w:rsidR="008C6D4F">
        <w:t>1</w:t>
      </w:r>
      <w:r w:rsidR="009C074C">
        <w:tab/>
      </w:r>
      <w:r w:rsidR="0015738B">
        <w:t>I</w:t>
      </w:r>
      <w:r w:rsidR="009C074C">
        <w:t>.</w:t>
      </w:r>
      <w:r w:rsidR="0033068A">
        <w:tab/>
        <w:t>Call to Order</w:t>
      </w:r>
    </w:p>
    <w:p w14:paraId="2E446629" w14:textId="2D43742A" w:rsidR="004814C8" w:rsidRDefault="004814C8" w:rsidP="004814C8">
      <w:pPr>
        <w:pStyle w:val="NoSpacing"/>
        <w:tabs>
          <w:tab w:val="left" w:pos="720"/>
          <w:tab w:val="left" w:pos="1080"/>
          <w:tab w:val="left" w:pos="1440"/>
        </w:tabs>
      </w:pPr>
      <w:r>
        <w:tab/>
      </w:r>
      <w:r>
        <w:tab/>
      </w:r>
      <w:r w:rsidR="00710CC8">
        <w:t xml:space="preserve">Dr. Char </w:t>
      </w:r>
      <w:r>
        <w:t>called the meeting to order at 11:</w:t>
      </w:r>
      <w:r w:rsidR="008C6D4F">
        <w:t>0</w:t>
      </w:r>
      <w:r>
        <w:t>3 a.m.</w:t>
      </w:r>
    </w:p>
    <w:p w14:paraId="070BD9D8" w14:textId="77777777" w:rsidR="00F572F9" w:rsidRDefault="00F572F9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4E0BA313" w14:textId="12FF41CD" w:rsidR="005A44A2" w:rsidRDefault="00827486" w:rsidP="00426F4E">
      <w:pPr>
        <w:pStyle w:val="NoSpacing"/>
        <w:tabs>
          <w:tab w:val="left" w:pos="720"/>
          <w:tab w:val="left" w:pos="1080"/>
          <w:tab w:val="left" w:pos="1440"/>
        </w:tabs>
      </w:pPr>
      <w:r>
        <w:t>3:32</w:t>
      </w:r>
      <w:r w:rsidR="0015738B">
        <w:tab/>
        <w:t>II.</w:t>
      </w:r>
      <w:r w:rsidR="0015738B">
        <w:tab/>
      </w:r>
      <w:r w:rsidR="00426F4E">
        <w:t>Transition Goals</w:t>
      </w:r>
    </w:p>
    <w:p w14:paraId="0A823510" w14:textId="77777777" w:rsidR="00C950C2" w:rsidRDefault="00827486" w:rsidP="00E32609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</w:pPr>
      <w:r>
        <w:t xml:space="preserve">Sean explained the </w:t>
      </w:r>
      <w:r w:rsidR="00C950C2">
        <w:t>origin of Act 212 and SB 628, the transfer of the Oahu region into the Department of Health.</w:t>
      </w:r>
    </w:p>
    <w:p w14:paraId="606549BC" w14:textId="4F60C377" w:rsidR="00C950C2" w:rsidRDefault="00C950C2" w:rsidP="00E32609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</w:pPr>
      <w:r>
        <w:t>Benefits to DOH:  Access to Oahu Region infrastructure and resources.</w:t>
      </w:r>
    </w:p>
    <w:p w14:paraId="658C15D6" w14:textId="1E9BFCAC" w:rsidR="00827486" w:rsidRDefault="00C950C2" w:rsidP="00E32609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</w:pPr>
      <w:r>
        <w:t xml:space="preserve">Benefits to Oahu Region: Stability of funding for existing operations separate and apart from HHSC. </w:t>
      </w:r>
      <w:r w:rsidR="00827486">
        <w:t xml:space="preserve"> </w:t>
      </w:r>
    </w:p>
    <w:p w14:paraId="52A583D7" w14:textId="77777777" w:rsidR="00827486" w:rsidRDefault="00827486" w:rsidP="00426F4E">
      <w:pPr>
        <w:pStyle w:val="NoSpacing"/>
        <w:tabs>
          <w:tab w:val="left" w:pos="720"/>
          <w:tab w:val="left" w:pos="1080"/>
          <w:tab w:val="left" w:pos="1440"/>
        </w:tabs>
      </w:pPr>
    </w:p>
    <w:p w14:paraId="4C11B2E4" w14:textId="7DD3A86A" w:rsidR="00A464B4" w:rsidRDefault="003E1AF9" w:rsidP="00893B1B">
      <w:pPr>
        <w:pStyle w:val="NoSpacing"/>
        <w:tabs>
          <w:tab w:val="left" w:pos="720"/>
          <w:tab w:val="left" w:pos="1080"/>
          <w:tab w:val="left" w:pos="1440"/>
        </w:tabs>
        <w:ind w:left="1356" w:hanging="1356"/>
      </w:pPr>
      <w:r>
        <w:t>12:04</w:t>
      </w:r>
      <w:r w:rsidR="005B6E67">
        <w:tab/>
        <w:t>III.</w:t>
      </w:r>
      <w:r w:rsidR="005B6E67">
        <w:tab/>
      </w:r>
      <w:r w:rsidR="00426F4E">
        <w:t>Organization Structure</w:t>
      </w:r>
    </w:p>
    <w:p w14:paraId="3BF0E218" w14:textId="5E32D030" w:rsidR="003E1AF9" w:rsidRDefault="003E1AF9" w:rsidP="00E32609">
      <w:pPr>
        <w:pStyle w:val="NoSpacing"/>
        <w:numPr>
          <w:ilvl w:val="0"/>
          <w:numId w:val="2"/>
        </w:numPr>
        <w:tabs>
          <w:tab w:val="left" w:pos="720"/>
          <w:tab w:val="left" w:pos="1080"/>
          <w:tab w:val="left" w:pos="1440"/>
        </w:tabs>
      </w:pPr>
      <w:r>
        <w:t>Dr. Char presented two options.</w:t>
      </w:r>
      <w:r w:rsidR="005E3986">
        <w:t xml:space="preserve">  In Option 1, HHSC Oahu region did not fit into any of the existing administrations.  It would get created as a separate administration.</w:t>
      </w:r>
    </w:p>
    <w:p w14:paraId="5E69ACE2" w14:textId="327B99E6" w:rsidR="005E3986" w:rsidRDefault="005E3986" w:rsidP="00E32609">
      <w:pPr>
        <w:pStyle w:val="NoSpacing"/>
        <w:numPr>
          <w:ilvl w:val="0"/>
          <w:numId w:val="2"/>
        </w:numPr>
        <w:tabs>
          <w:tab w:val="left" w:pos="720"/>
          <w:tab w:val="left" w:pos="1080"/>
          <w:tab w:val="left" w:pos="1440"/>
        </w:tabs>
      </w:pPr>
      <w:r>
        <w:t>In Option 2, Oahu region would be an attached agency.</w:t>
      </w:r>
    </w:p>
    <w:p w14:paraId="38B05B5D" w14:textId="031E0253" w:rsidR="009C0FCD" w:rsidRDefault="00C4362E" w:rsidP="004814C8">
      <w:pPr>
        <w:pStyle w:val="NoSpacing"/>
        <w:tabs>
          <w:tab w:val="left" w:pos="720"/>
          <w:tab w:val="left" w:pos="1080"/>
          <w:tab w:val="left" w:pos="1440"/>
        </w:tabs>
        <w:ind w:left="1356" w:hanging="1266"/>
      </w:pPr>
      <w:r>
        <w:tab/>
      </w:r>
      <w:r>
        <w:tab/>
      </w:r>
    </w:p>
    <w:p w14:paraId="62C6F8F3" w14:textId="66ED5411" w:rsidR="00E45507" w:rsidRDefault="00CC2271" w:rsidP="00893B1B">
      <w:pPr>
        <w:pStyle w:val="NoSpacing"/>
        <w:tabs>
          <w:tab w:val="left" w:pos="720"/>
          <w:tab w:val="left" w:pos="1080"/>
          <w:tab w:val="left" w:pos="1440"/>
        </w:tabs>
        <w:ind w:left="1356" w:hanging="1356"/>
      </w:pPr>
      <w:r>
        <w:t>16:28</w:t>
      </w:r>
      <w:r w:rsidR="00A52F30">
        <w:tab/>
        <w:t>IV.</w:t>
      </w:r>
      <w:r w:rsidR="00A52F30">
        <w:tab/>
      </w:r>
      <w:r w:rsidR="00426F4E">
        <w:t>Integration Approach</w:t>
      </w:r>
    </w:p>
    <w:p w14:paraId="0B2A442D" w14:textId="68AEBF24" w:rsidR="005E3986" w:rsidRDefault="00CC2271" w:rsidP="00893B1B">
      <w:pPr>
        <w:pStyle w:val="NoSpacing"/>
        <w:tabs>
          <w:tab w:val="left" w:pos="720"/>
          <w:tab w:val="left" w:pos="1080"/>
          <w:tab w:val="left" w:pos="1440"/>
        </w:tabs>
        <w:ind w:left="1440" w:hanging="1350"/>
      </w:pPr>
      <w:r>
        <w:tab/>
      </w:r>
      <w:r>
        <w:tab/>
      </w:r>
      <w:r w:rsidR="006203B5">
        <w:t>a.</w:t>
      </w:r>
      <w:r w:rsidR="00893B1B">
        <w:tab/>
      </w:r>
      <w:r w:rsidR="005E3986">
        <w:t xml:space="preserve">Option 1 </w:t>
      </w:r>
      <w:r w:rsidR="006203B5">
        <w:t>focused on moving corporate functions</w:t>
      </w:r>
      <w:r w:rsidR="00893B1B">
        <w:t xml:space="preserve"> resulting in an i</w:t>
      </w:r>
      <w:r w:rsidR="006203B5">
        <w:t>ncrease of staffing needs.  Estimated transition cost $10,295,000.</w:t>
      </w:r>
      <w:r>
        <w:t xml:space="preserve"> </w:t>
      </w:r>
    </w:p>
    <w:p w14:paraId="29CE6EDE" w14:textId="40A3C59A" w:rsidR="001C4EBB" w:rsidRDefault="00CC2271" w:rsidP="00893B1B">
      <w:pPr>
        <w:pStyle w:val="NoSpacing"/>
        <w:tabs>
          <w:tab w:val="left" w:pos="720"/>
          <w:tab w:val="left" w:pos="1440"/>
        </w:tabs>
        <w:ind w:left="1440" w:hanging="360"/>
      </w:pPr>
      <w:r>
        <w:t>b.</w:t>
      </w:r>
      <w:r w:rsidR="00893B1B">
        <w:tab/>
        <w:t xml:space="preserve">In </w:t>
      </w:r>
      <w:r>
        <w:t>Option 2</w:t>
      </w:r>
      <w:r w:rsidR="00893B1B">
        <w:t xml:space="preserve">, </w:t>
      </w:r>
      <w:r w:rsidR="006203B5">
        <w:t xml:space="preserve">Oahu region will perform </w:t>
      </w:r>
      <w:r w:rsidR="00893B1B">
        <w:t xml:space="preserve">corporate </w:t>
      </w:r>
      <w:r w:rsidR="006203B5">
        <w:t xml:space="preserve">functions themselves.  </w:t>
      </w:r>
      <w:r w:rsidR="00893B1B">
        <w:t>Estimated transition cost $1,727,000.</w:t>
      </w:r>
    </w:p>
    <w:p w14:paraId="65E08E4B" w14:textId="77777777" w:rsidR="00893B1B" w:rsidRDefault="00893B1B" w:rsidP="00893B1B">
      <w:pPr>
        <w:pStyle w:val="NoSpacing"/>
        <w:tabs>
          <w:tab w:val="left" w:pos="720"/>
          <w:tab w:val="left" w:pos="1440"/>
        </w:tabs>
        <w:ind w:left="1440" w:hanging="360"/>
      </w:pPr>
    </w:p>
    <w:p w14:paraId="3DD92DA3" w14:textId="338D9302" w:rsidR="009A2123" w:rsidRDefault="00893B1B" w:rsidP="00426F4E">
      <w:pPr>
        <w:pStyle w:val="NoSpacing"/>
        <w:tabs>
          <w:tab w:val="left" w:pos="720"/>
          <w:tab w:val="left" w:pos="1080"/>
          <w:tab w:val="left" w:pos="1440"/>
        </w:tabs>
      </w:pPr>
      <w:r>
        <w:t>21:55</w:t>
      </w:r>
      <w:r w:rsidR="001C4EBB">
        <w:tab/>
        <w:t>V.</w:t>
      </w:r>
      <w:r w:rsidR="001C4EBB">
        <w:tab/>
      </w:r>
      <w:r w:rsidR="00426F4E">
        <w:t>Cost Estimate Comparison</w:t>
      </w:r>
    </w:p>
    <w:p w14:paraId="594D8865" w14:textId="1350A517" w:rsidR="00893B1B" w:rsidRDefault="00893B1B" w:rsidP="00E32609">
      <w:pPr>
        <w:pStyle w:val="NoSpacing"/>
        <w:numPr>
          <w:ilvl w:val="0"/>
          <w:numId w:val="3"/>
        </w:numPr>
        <w:tabs>
          <w:tab w:val="left" w:pos="720"/>
          <w:tab w:val="left" w:pos="1080"/>
          <w:tab w:val="left" w:pos="1440"/>
        </w:tabs>
      </w:pPr>
      <w:r>
        <w:t>10-year capit</w:t>
      </w:r>
      <w:r w:rsidR="006910AD">
        <w:t>a</w:t>
      </w:r>
      <w:r>
        <w:t>l budget relatively close to the $10 million per year estimated.</w:t>
      </w:r>
    </w:p>
    <w:p w14:paraId="70B77785" w14:textId="77777777" w:rsidR="00426F4E" w:rsidRDefault="00426F4E" w:rsidP="00426F4E">
      <w:pPr>
        <w:pStyle w:val="NoSpacing"/>
        <w:tabs>
          <w:tab w:val="left" w:pos="720"/>
          <w:tab w:val="left" w:pos="1080"/>
          <w:tab w:val="left" w:pos="1440"/>
        </w:tabs>
      </w:pPr>
    </w:p>
    <w:p w14:paraId="1AE584D2" w14:textId="023B0A6B" w:rsidR="009A2123" w:rsidRDefault="006910AD" w:rsidP="00426F4E">
      <w:pPr>
        <w:pStyle w:val="NoSpacing"/>
        <w:tabs>
          <w:tab w:val="left" w:pos="720"/>
          <w:tab w:val="left" w:pos="1080"/>
          <w:tab w:val="left" w:pos="1440"/>
        </w:tabs>
      </w:pPr>
      <w:r>
        <w:t>25:26</w:t>
      </w:r>
      <w:r w:rsidR="00B14AE0">
        <w:tab/>
        <w:t>VI.</w:t>
      </w:r>
      <w:r w:rsidR="00B14AE0">
        <w:tab/>
      </w:r>
      <w:r w:rsidR="00426F4E">
        <w:t>Questions and Answers</w:t>
      </w:r>
    </w:p>
    <w:p w14:paraId="5231E654" w14:textId="77777777" w:rsidR="006910AD" w:rsidRDefault="006910AD" w:rsidP="00E32609">
      <w:pPr>
        <w:pStyle w:val="NoSpacing"/>
        <w:numPr>
          <w:ilvl w:val="0"/>
          <w:numId w:val="4"/>
        </w:numPr>
        <w:tabs>
          <w:tab w:val="left" w:pos="720"/>
          <w:tab w:val="left" w:pos="1080"/>
          <w:tab w:val="left" w:pos="1440"/>
        </w:tabs>
      </w:pPr>
      <w:r>
        <w:t>Question from Linda:  “Can you please explain the advantages of option two over the current HHSC structure.”</w:t>
      </w:r>
    </w:p>
    <w:p w14:paraId="23B945EB" w14:textId="54F6630C" w:rsidR="006910AD" w:rsidRDefault="006910AD" w:rsidP="00E32609">
      <w:pPr>
        <w:pStyle w:val="NoSpacing"/>
        <w:numPr>
          <w:ilvl w:val="0"/>
          <w:numId w:val="4"/>
        </w:numPr>
        <w:tabs>
          <w:tab w:val="left" w:pos="720"/>
          <w:tab w:val="left" w:pos="1080"/>
          <w:tab w:val="left" w:pos="1440"/>
        </w:tabs>
      </w:pPr>
      <w:r>
        <w:t xml:space="preserve">Answer from Sean Sanada: We can deal directly with the legislature and request their funding directly from them without being beholden to any of the other regions.   </w:t>
      </w:r>
    </w:p>
    <w:p w14:paraId="327F6103" w14:textId="77777777" w:rsidR="00806D5A" w:rsidRDefault="00806D5A" w:rsidP="004814C8">
      <w:pPr>
        <w:pStyle w:val="NoSpacing"/>
        <w:tabs>
          <w:tab w:val="left" w:pos="720"/>
          <w:tab w:val="left" w:pos="1080"/>
          <w:tab w:val="left" w:pos="1440"/>
        </w:tabs>
        <w:ind w:left="1356"/>
      </w:pPr>
    </w:p>
    <w:p w14:paraId="68B5707E" w14:textId="0838D3D5" w:rsidR="00897A37" w:rsidRDefault="00426F4E" w:rsidP="00426F4E">
      <w:pPr>
        <w:pStyle w:val="NoSpacing"/>
        <w:tabs>
          <w:tab w:val="left" w:pos="720"/>
          <w:tab w:val="left" w:pos="900"/>
          <w:tab w:val="left" w:pos="1080"/>
          <w:tab w:val="left" w:pos="1440"/>
        </w:tabs>
      </w:pPr>
      <w:r>
        <w:t>31:20</w:t>
      </w:r>
      <w:r w:rsidR="00806D5A">
        <w:tab/>
        <w:t>VII.</w:t>
      </w:r>
      <w:r w:rsidR="004814C8">
        <w:tab/>
      </w:r>
      <w:r w:rsidR="00C26843">
        <w:t>Adjournment</w:t>
      </w:r>
    </w:p>
    <w:p w14:paraId="49AAB6E2" w14:textId="047BFAD3" w:rsidR="001C2AC5" w:rsidRDefault="001C2AC5" w:rsidP="001C2AC5">
      <w:pPr>
        <w:pStyle w:val="NoSpacing"/>
        <w:tabs>
          <w:tab w:val="left" w:pos="720"/>
          <w:tab w:val="left" w:pos="1080"/>
          <w:tab w:val="left" w:pos="1440"/>
        </w:tabs>
      </w:pPr>
      <w:r>
        <w:tab/>
      </w:r>
      <w:r>
        <w:tab/>
        <w:t>Sean Sanada adjourned the meeting at 11:3</w:t>
      </w:r>
      <w:r w:rsidR="00426F4E">
        <w:t>1</w:t>
      </w:r>
      <w:r>
        <w:t xml:space="preserve"> a.m.</w:t>
      </w:r>
    </w:p>
    <w:p w14:paraId="0A70B1F5" w14:textId="2067C7F7" w:rsidR="00E90B66" w:rsidRDefault="00E90B66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1C3825C5" w14:textId="310DC385" w:rsidR="00EC309A" w:rsidRDefault="00EC309A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78128DB2" w14:textId="77777777" w:rsidR="00EC309A" w:rsidRDefault="00EC309A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45FFC6CA" w14:textId="77777777" w:rsidR="001B1E0F" w:rsidRDefault="001B1E0F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10C0680E" w14:textId="40649D41" w:rsidR="007F0F27" w:rsidRDefault="007F0F27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6EF19AFB" w14:textId="77777777" w:rsidR="007F0F27" w:rsidRDefault="007F0F27" w:rsidP="004814C8">
      <w:pPr>
        <w:pStyle w:val="NoSpacing"/>
        <w:tabs>
          <w:tab w:val="left" w:pos="720"/>
          <w:tab w:val="left" w:pos="1080"/>
          <w:tab w:val="left" w:pos="1440"/>
        </w:tabs>
      </w:pPr>
    </w:p>
    <w:sectPr w:rsidR="007F0F27" w:rsidSect="007A6B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5F7"/>
    <w:multiLevelType w:val="hybridMultilevel"/>
    <w:tmpl w:val="C414E602"/>
    <w:lvl w:ilvl="0" w:tplc="BCE065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375A8E"/>
    <w:multiLevelType w:val="hybridMultilevel"/>
    <w:tmpl w:val="7A8836D4"/>
    <w:lvl w:ilvl="0" w:tplc="814CA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8E4342"/>
    <w:multiLevelType w:val="hybridMultilevel"/>
    <w:tmpl w:val="0052B936"/>
    <w:lvl w:ilvl="0" w:tplc="9102A2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161828"/>
    <w:multiLevelType w:val="hybridMultilevel"/>
    <w:tmpl w:val="AD9CCBB4"/>
    <w:lvl w:ilvl="0" w:tplc="173CBCC6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7C"/>
    <w:rsid w:val="00004F5D"/>
    <w:rsid w:val="000353E7"/>
    <w:rsid w:val="00061EA2"/>
    <w:rsid w:val="000B4993"/>
    <w:rsid w:val="000B76B3"/>
    <w:rsid w:val="001221D8"/>
    <w:rsid w:val="001550E3"/>
    <w:rsid w:val="0015738B"/>
    <w:rsid w:val="0018177C"/>
    <w:rsid w:val="001B1E0F"/>
    <w:rsid w:val="001C2AC5"/>
    <w:rsid w:val="001C4EBB"/>
    <w:rsid w:val="001D08B4"/>
    <w:rsid w:val="00231737"/>
    <w:rsid w:val="00240313"/>
    <w:rsid w:val="0024211D"/>
    <w:rsid w:val="00255BAD"/>
    <w:rsid w:val="00263A1D"/>
    <w:rsid w:val="002646C9"/>
    <w:rsid w:val="002812D4"/>
    <w:rsid w:val="0029143B"/>
    <w:rsid w:val="00301D27"/>
    <w:rsid w:val="0033068A"/>
    <w:rsid w:val="003D3CCD"/>
    <w:rsid w:val="003E1AF9"/>
    <w:rsid w:val="003E669D"/>
    <w:rsid w:val="00420011"/>
    <w:rsid w:val="00426F4E"/>
    <w:rsid w:val="004814C8"/>
    <w:rsid w:val="004D3D7B"/>
    <w:rsid w:val="00501963"/>
    <w:rsid w:val="005041DF"/>
    <w:rsid w:val="005118C9"/>
    <w:rsid w:val="00517E56"/>
    <w:rsid w:val="005A44A2"/>
    <w:rsid w:val="005B6E67"/>
    <w:rsid w:val="005E3986"/>
    <w:rsid w:val="005E63BC"/>
    <w:rsid w:val="00612455"/>
    <w:rsid w:val="00615098"/>
    <w:rsid w:val="0061631D"/>
    <w:rsid w:val="006203B5"/>
    <w:rsid w:val="0064363F"/>
    <w:rsid w:val="00645252"/>
    <w:rsid w:val="00664476"/>
    <w:rsid w:val="006910AD"/>
    <w:rsid w:val="0069210D"/>
    <w:rsid w:val="006D3D74"/>
    <w:rsid w:val="006F7E08"/>
    <w:rsid w:val="00710CC8"/>
    <w:rsid w:val="00781C58"/>
    <w:rsid w:val="00794624"/>
    <w:rsid w:val="007A6B01"/>
    <w:rsid w:val="007D1C32"/>
    <w:rsid w:val="007F0F27"/>
    <w:rsid w:val="00806D5A"/>
    <w:rsid w:val="00827486"/>
    <w:rsid w:val="0083569A"/>
    <w:rsid w:val="00840320"/>
    <w:rsid w:val="008412CE"/>
    <w:rsid w:val="00893B1B"/>
    <w:rsid w:val="00897A37"/>
    <w:rsid w:val="00897E81"/>
    <w:rsid w:val="008C002E"/>
    <w:rsid w:val="008C6D4F"/>
    <w:rsid w:val="008D6ACC"/>
    <w:rsid w:val="00917A29"/>
    <w:rsid w:val="0094144E"/>
    <w:rsid w:val="009806C3"/>
    <w:rsid w:val="00990E94"/>
    <w:rsid w:val="009944C5"/>
    <w:rsid w:val="009A2123"/>
    <w:rsid w:val="009B1067"/>
    <w:rsid w:val="009C074C"/>
    <w:rsid w:val="009C0FCD"/>
    <w:rsid w:val="009C623A"/>
    <w:rsid w:val="009D7141"/>
    <w:rsid w:val="009E5898"/>
    <w:rsid w:val="00A14593"/>
    <w:rsid w:val="00A17FAB"/>
    <w:rsid w:val="00A464B4"/>
    <w:rsid w:val="00A52F30"/>
    <w:rsid w:val="00A546AC"/>
    <w:rsid w:val="00A70352"/>
    <w:rsid w:val="00A9204E"/>
    <w:rsid w:val="00B14AE0"/>
    <w:rsid w:val="00B36A0C"/>
    <w:rsid w:val="00B72DAD"/>
    <w:rsid w:val="00B74A12"/>
    <w:rsid w:val="00B85028"/>
    <w:rsid w:val="00BC7749"/>
    <w:rsid w:val="00BD129A"/>
    <w:rsid w:val="00C13828"/>
    <w:rsid w:val="00C26843"/>
    <w:rsid w:val="00C36663"/>
    <w:rsid w:val="00C417F3"/>
    <w:rsid w:val="00C4362E"/>
    <w:rsid w:val="00C950C2"/>
    <w:rsid w:val="00CA7442"/>
    <w:rsid w:val="00CC2271"/>
    <w:rsid w:val="00CD0A17"/>
    <w:rsid w:val="00CE6C9C"/>
    <w:rsid w:val="00CF169C"/>
    <w:rsid w:val="00D34B7B"/>
    <w:rsid w:val="00D47091"/>
    <w:rsid w:val="00D83346"/>
    <w:rsid w:val="00D86E28"/>
    <w:rsid w:val="00E2114D"/>
    <w:rsid w:val="00E223E4"/>
    <w:rsid w:val="00E238DF"/>
    <w:rsid w:val="00E32609"/>
    <w:rsid w:val="00E45507"/>
    <w:rsid w:val="00E70C6C"/>
    <w:rsid w:val="00E90B66"/>
    <w:rsid w:val="00EA6FE4"/>
    <w:rsid w:val="00EB6B35"/>
    <w:rsid w:val="00EC309A"/>
    <w:rsid w:val="00EE7144"/>
    <w:rsid w:val="00F11A58"/>
    <w:rsid w:val="00F30D43"/>
    <w:rsid w:val="00F54A2E"/>
    <w:rsid w:val="00F555EF"/>
    <w:rsid w:val="00F572F9"/>
    <w:rsid w:val="00F668DA"/>
    <w:rsid w:val="00FC3224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CBC9"/>
  <w15:chartTrackingRefBased/>
  <w15:docId w15:val="{5BB71FD5-AA01-4EE9-B492-2E0B209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8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een.riba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40DD1BB5A0947BAE8DDBE6568C354" ma:contentTypeVersion="7" ma:contentTypeDescription="Create a new document." ma:contentTypeScope="" ma:versionID="6349d14f03ade390ec3d7abcdb5728cf">
  <xsd:schema xmlns:xsd="http://www.w3.org/2001/XMLSchema" xmlns:xs="http://www.w3.org/2001/XMLSchema" xmlns:p="http://schemas.microsoft.com/office/2006/metadata/properties" xmlns:ns3="110b737e-3851-4a86-a487-37ed878916cd" xmlns:ns4="e8760ec7-cbe9-4ce5-a414-f477c4244568" targetNamespace="http://schemas.microsoft.com/office/2006/metadata/properties" ma:root="true" ma:fieldsID="27be33093bc5e6afe75ee2d54ce57bc2" ns3:_="" ns4:_="">
    <xsd:import namespace="110b737e-3851-4a86-a487-37ed878916cd"/>
    <xsd:import namespace="e8760ec7-cbe9-4ce5-a414-f477c4244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737e-3851-4a86-a487-37ed87891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60ec7-cbe9-4ce5-a414-f477c424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CCD08-39A0-449A-BFCD-AC7857ED5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737e-3851-4a86-a487-37ed878916cd"/>
    <ds:schemaRef ds:uri="e8760ec7-cbe9-4ce5-a414-f477c424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B5F41-35C9-4C1B-9280-70A222F8F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Ribac, Arleen</dc:creator>
  <cp:keywords/>
  <dc:description/>
  <cp:lastModifiedBy>Ribac, Arleen</cp:lastModifiedBy>
  <cp:revision>18</cp:revision>
  <dcterms:created xsi:type="dcterms:W3CDTF">2022-01-25T20:48:00Z</dcterms:created>
  <dcterms:modified xsi:type="dcterms:W3CDTF">2022-01-31T22:36:00Z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0x01010013A40DD1BB5A0947BAE8DDBE6568C354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